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41A" w:rsidRDefault="00BF6A09" w:rsidP="00C4241A">
      <w:pPr>
        <w:jc w:val="center"/>
        <w:rPr>
          <w:b/>
          <w:u w:val="single"/>
        </w:r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1D3A35E" wp14:editId="7F2F0185">
                <wp:simplePos x="0" y="0"/>
                <wp:positionH relativeFrom="column">
                  <wp:posOffset>359410</wp:posOffset>
                </wp:positionH>
                <wp:positionV relativeFrom="paragraph">
                  <wp:posOffset>1905</wp:posOffset>
                </wp:positionV>
                <wp:extent cx="4573270" cy="500380"/>
                <wp:effectExtent l="0" t="0" r="17780" b="1397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327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241A" w:rsidRPr="00C4241A" w:rsidRDefault="000D30B0" w:rsidP="00C4241A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 xml:space="preserve">Implications of Using </w:t>
                            </w:r>
                            <w:r w:rsidR="00C00E2B">
                              <w:rPr>
                                <w:b/>
                                <w:lang w:val="en-GB"/>
                              </w:rPr>
                              <w:t xml:space="preserve">PCR </w:t>
                            </w:r>
                            <w:r w:rsidR="00C4241A" w:rsidRPr="00C4241A">
                              <w:rPr>
                                <w:b/>
                              </w:rPr>
                              <w:t xml:space="preserve">Detection </w:t>
                            </w:r>
                            <w:r>
                              <w:rPr>
                                <w:b/>
                              </w:rPr>
                              <w:t xml:space="preserve">Methods with </w:t>
                            </w:r>
                            <w:r w:rsidR="00C4241A" w:rsidRPr="00C4241A">
                              <w:rPr>
                                <w:b/>
                              </w:rPr>
                              <w:t>Stack</w:t>
                            </w:r>
                            <w:r w:rsidR="00AA108F">
                              <w:rPr>
                                <w:b/>
                              </w:rPr>
                              <w:t xml:space="preserve">ed </w:t>
                            </w:r>
                            <w:r>
                              <w:rPr>
                                <w:b/>
                              </w:rPr>
                              <w:t>Products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3pt;margin-top:.15pt;width:360.1pt;height:39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">
                <v:textbox>
                  <w:txbxContent>
                    <w:p w:rsidR="00C4241A" w:rsidRPr="00C4241A" w:rsidRDefault="000D30B0" w:rsidP="00C4241A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GB"/>
                        </w:rPr>
                        <w:t xml:space="preserve">Implications of Using </w:t>
                      </w:r>
                      <w:r w:rsidR="00C00E2B">
                        <w:rPr>
                          <w:b/>
                          <w:lang w:val="en-GB"/>
                        </w:rPr>
                        <w:t xml:space="preserve">PCR </w:t>
                      </w:r>
                      <w:r w:rsidR="00C4241A" w:rsidRPr="00C4241A">
                        <w:rPr>
                          <w:b/>
                        </w:rPr>
                        <w:t xml:space="preserve">Detection </w:t>
                      </w:r>
                      <w:r>
                        <w:rPr>
                          <w:b/>
                        </w:rPr>
                        <w:t xml:space="preserve">Methods with </w:t>
                      </w:r>
                      <w:r w:rsidR="00C4241A" w:rsidRPr="00C4241A">
                        <w:rPr>
                          <w:b/>
                        </w:rPr>
                        <w:t>Stack</w:t>
                      </w:r>
                      <w:r w:rsidR="00AA108F">
                        <w:rPr>
                          <w:b/>
                        </w:rPr>
                        <w:t xml:space="preserve">ed </w:t>
                      </w:r>
                      <w:r>
                        <w:rPr>
                          <w:b/>
                        </w:rPr>
                        <w:t>Products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32B3D" w:rsidRPr="00887718" w:rsidRDefault="00E32B3D">
      <w:pPr>
        <w:rPr>
          <w:lang w:val="en-GB"/>
        </w:rPr>
      </w:pPr>
    </w:p>
    <w:p w:rsidR="00C4241A" w:rsidRDefault="00C4241A">
      <w:pPr>
        <w:pStyle w:val="BodyText"/>
        <w:jc w:val="both"/>
        <w:rPr>
          <w:rFonts w:ascii="Times New Roman" w:hAnsi="Times New Roman"/>
          <w:color w:val="000000"/>
          <w:u w:val="single"/>
          <w:lang w:val="en-GB"/>
        </w:rPr>
      </w:pPr>
    </w:p>
    <w:p w:rsidR="008A7F36" w:rsidRDefault="008A7F36" w:rsidP="00DC2052">
      <w:pPr>
        <w:pStyle w:val="BodyText"/>
        <w:jc w:val="center"/>
        <w:rPr>
          <w:rFonts w:ascii="Times New Roman" w:hAnsi="Times New Roman"/>
          <w:color w:val="000000"/>
          <w:u w:val="single"/>
          <w:lang w:val="en-GB"/>
        </w:rPr>
      </w:pPr>
    </w:p>
    <w:p w:rsidR="00C4241A" w:rsidRDefault="00DC2052" w:rsidP="00DC2052">
      <w:pPr>
        <w:pStyle w:val="BodyText"/>
        <w:jc w:val="center"/>
        <w:rPr>
          <w:rFonts w:ascii="Times New Roman" w:hAnsi="Times New Roman"/>
          <w:color w:val="000000"/>
          <w:u w:val="single"/>
          <w:lang w:val="en-GB"/>
        </w:rPr>
      </w:pPr>
      <w:r>
        <w:rPr>
          <w:rFonts w:ascii="Times New Roman" w:hAnsi="Times New Roman"/>
          <w:color w:val="000000"/>
          <w:u w:val="single"/>
          <w:lang w:val="en-GB"/>
        </w:rPr>
        <w:t xml:space="preserve">The </w:t>
      </w:r>
      <w:proofErr w:type="spellStart"/>
      <w:r>
        <w:rPr>
          <w:rFonts w:ascii="Times New Roman" w:hAnsi="Times New Roman"/>
          <w:color w:val="000000"/>
          <w:u w:val="single"/>
          <w:lang w:val="en-GB"/>
        </w:rPr>
        <w:t>CropLife</w:t>
      </w:r>
      <w:proofErr w:type="spellEnd"/>
      <w:r>
        <w:rPr>
          <w:rFonts w:ascii="Times New Roman" w:hAnsi="Times New Roman"/>
          <w:color w:val="000000"/>
          <w:u w:val="single"/>
          <w:lang w:val="en-GB"/>
        </w:rPr>
        <w:t xml:space="preserve"> International Detection </w:t>
      </w:r>
      <w:r w:rsidR="008A7F36">
        <w:rPr>
          <w:rFonts w:ascii="Times New Roman" w:hAnsi="Times New Roman"/>
          <w:color w:val="000000"/>
          <w:u w:val="single"/>
          <w:lang w:val="en-GB"/>
        </w:rPr>
        <w:t>M</w:t>
      </w:r>
      <w:r>
        <w:rPr>
          <w:rFonts w:ascii="Times New Roman" w:hAnsi="Times New Roman"/>
          <w:color w:val="000000"/>
          <w:u w:val="single"/>
          <w:lang w:val="en-GB"/>
        </w:rPr>
        <w:t xml:space="preserve">ethod </w:t>
      </w:r>
      <w:r w:rsidR="008A7F36">
        <w:rPr>
          <w:rFonts w:ascii="Times New Roman" w:hAnsi="Times New Roman"/>
          <w:color w:val="000000"/>
          <w:u w:val="single"/>
          <w:lang w:val="en-GB"/>
        </w:rPr>
        <w:t xml:space="preserve">Project </w:t>
      </w:r>
      <w:r>
        <w:rPr>
          <w:rFonts w:ascii="Times New Roman" w:hAnsi="Times New Roman"/>
          <w:color w:val="000000"/>
          <w:u w:val="single"/>
          <w:lang w:val="en-GB"/>
        </w:rPr>
        <w:t>Team</w:t>
      </w:r>
    </w:p>
    <w:p w:rsidR="00DC2052" w:rsidRPr="008A7F36" w:rsidRDefault="00DC2052" w:rsidP="008A7F36">
      <w:pPr>
        <w:pStyle w:val="BodyText"/>
        <w:jc w:val="center"/>
        <w:rPr>
          <w:rFonts w:ascii="Times New Roman" w:hAnsi="Times New Roman"/>
          <w:color w:val="000000"/>
          <w:u w:val="single"/>
          <w:lang w:val="en-GB"/>
        </w:rPr>
      </w:pPr>
      <w:r w:rsidRPr="008A7F36">
        <w:rPr>
          <w:rFonts w:ascii="Times New Roman" w:hAnsi="Times New Roman"/>
          <w:color w:val="000000"/>
          <w:u w:val="single"/>
          <w:lang w:val="en-GB"/>
        </w:rPr>
        <w:t>October, 2014</w:t>
      </w:r>
    </w:p>
    <w:p w:rsidR="00DC2052" w:rsidRDefault="00DC2052">
      <w:pPr>
        <w:pStyle w:val="BodyText"/>
        <w:jc w:val="both"/>
        <w:rPr>
          <w:rFonts w:ascii="Times New Roman" w:hAnsi="Times New Roman"/>
          <w:color w:val="000000"/>
          <w:u w:val="single"/>
          <w:lang w:val="en-GB"/>
        </w:rPr>
      </w:pPr>
    </w:p>
    <w:p w:rsidR="00E32B3D" w:rsidRDefault="00E32B3D">
      <w:pPr>
        <w:pStyle w:val="BodyText"/>
        <w:jc w:val="both"/>
        <w:rPr>
          <w:rFonts w:ascii="Times New Roman" w:hAnsi="Times New Roman"/>
          <w:color w:val="000000"/>
          <w:u w:val="single"/>
          <w:lang w:val="en-GB"/>
        </w:rPr>
      </w:pPr>
      <w:r w:rsidRPr="00887718">
        <w:rPr>
          <w:rFonts w:ascii="Times New Roman" w:hAnsi="Times New Roman"/>
          <w:color w:val="000000"/>
          <w:u w:val="single"/>
          <w:lang w:val="en-GB"/>
        </w:rPr>
        <w:t xml:space="preserve">Scope </w:t>
      </w:r>
    </w:p>
    <w:p w:rsidR="000D30B0" w:rsidRPr="000E2332" w:rsidRDefault="000D30B0" w:rsidP="008D0746">
      <w:pPr>
        <w:pStyle w:val="NoSpacing"/>
      </w:pPr>
      <w:r>
        <w:t xml:space="preserve">The scope of this document is the use of </w:t>
      </w:r>
      <w:r w:rsidR="00D5365C">
        <w:t>PCR-</w:t>
      </w:r>
      <w:r>
        <w:t>based detection methods to analyse bulk samples of s</w:t>
      </w:r>
      <w:r w:rsidRPr="00E136B0">
        <w:t xml:space="preserve">eed </w:t>
      </w:r>
      <w:r w:rsidR="00D5365C">
        <w:t xml:space="preserve">or </w:t>
      </w:r>
      <w:r w:rsidRPr="00E136B0">
        <w:t xml:space="preserve">grain containing multiple </w:t>
      </w:r>
      <w:r w:rsidR="00D5365C">
        <w:t>genetically modified</w:t>
      </w:r>
      <w:r w:rsidR="00D5365C" w:rsidRPr="00887718" w:rsidDel="00D5365C">
        <w:t xml:space="preserve"> </w:t>
      </w:r>
      <w:r w:rsidR="00D5365C">
        <w:t>(GM</w:t>
      </w:r>
      <w:r w:rsidR="00B258E3">
        <w:t xml:space="preserve">; </w:t>
      </w:r>
      <w:r w:rsidR="00921330">
        <w:t xml:space="preserve">transgenic or genetically </w:t>
      </w:r>
      <w:r w:rsidR="005D51ED">
        <w:t>engineered</w:t>
      </w:r>
      <w:r w:rsidR="00921330">
        <w:t xml:space="preserve">) </w:t>
      </w:r>
      <w:r w:rsidRPr="008D0746">
        <w:t>events</w:t>
      </w:r>
      <w:r w:rsidRPr="00E136B0">
        <w:t xml:space="preserve"> in different loci in the </w:t>
      </w:r>
      <w:r w:rsidR="00212F5A">
        <w:t xml:space="preserve">plant </w:t>
      </w:r>
      <w:r w:rsidRPr="00E136B0">
        <w:t>genome</w:t>
      </w:r>
      <w:r>
        <w:t xml:space="preserve">.  For the purpose of this </w:t>
      </w:r>
      <w:r w:rsidR="00D5365C">
        <w:t>discussion</w:t>
      </w:r>
      <w:r w:rsidR="00B0549D">
        <w:t>,</w:t>
      </w:r>
      <w:r>
        <w:t xml:space="preserve"> </w:t>
      </w:r>
      <w:r w:rsidR="00B0549D">
        <w:t>such multiple-event combinations</w:t>
      </w:r>
      <w:r>
        <w:t xml:space="preserve"> will be referred to as ‘</w:t>
      </w:r>
      <w:r w:rsidR="004A4E97">
        <w:t>s</w:t>
      </w:r>
      <w:r w:rsidRPr="00E136B0">
        <w:t>tacks</w:t>
      </w:r>
      <w:r>
        <w:t>’.</w:t>
      </w:r>
    </w:p>
    <w:p w:rsidR="00E32B3D" w:rsidRPr="00887718" w:rsidRDefault="000E2332" w:rsidP="008D0746">
      <w:pPr>
        <w:pStyle w:val="NoSpacing"/>
      </w:pPr>
      <w:r>
        <w:t>T</w:t>
      </w:r>
      <w:r w:rsidR="00E32B3D" w:rsidRPr="00887718">
        <w:t xml:space="preserve">his </w:t>
      </w:r>
      <w:r w:rsidR="008A7F36">
        <w:t xml:space="preserve">discussion is limited to </w:t>
      </w:r>
      <w:r w:rsidR="0094116B" w:rsidRPr="00C72BA5">
        <w:t xml:space="preserve">stacked </w:t>
      </w:r>
      <w:r w:rsidR="00E32B3D" w:rsidRPr="00C72BA5">
        <w:t>products</w:t>
      </w:r>
      <w:r w:rsidR="00331BD2" w:rsidRPr="00C72BA5">
        <w:t xml:space="preserve"> (</w:t>
      </w:r>
      <w:r w:rsidR="00C03F3B" w:rsidRPr="00C72BA5">
        <w:t xml:space="preserve">e.g., plant or seed </w:t>
      </w:r>
      <w:r w:rsidR="00331BD2" w:rsidRPr="00C72BA5">
        <w:t>products comprised of stacks)</w:t>
      </w:r>
      <w:r w:rsidR="00E32B3D" w:rsidRPr="00887718">
        <w:t xml:space="preserve"> produced </w:t>
      </w:r>
      <w:r w:rsidR="000D30B0">
        <w:t xml:space="preserve">intentionally </w:t>
      </w:r>
      <w:r w:rsidR="00E32B3D" w:rsidRPr="00887718">
        <w:t xml:space="preserve">through conventional breeding (crossing of plants carrying individual events), or </w:t>
      </w:r>
      <w:r w:rsidR="000D30B0">
        <w:t xml:space="preserve">adventitiously </w:t>
      </w:r>
      <w:r w:rsidR="00E32B3D" w:rsidRPr="00887718">
        <w:t>by crossing of two plants containing different events during cultivation</w:t>
      </w:r>
      <w:r w:rsidR="00F9310E">
        <w:t>.</w:t>
      </w:r>
      <w:r w:rsidR="00C526C6">
        <w:t xml:space="preserve"> </w:t>
      </w:r>
      <w:r w:rsidR="005D51ED">
        <w:t xml:space="preserve"> </w:t>
      </w:r>
    </w:p>
    <w:p w:rsidR="00E32B3D" w:rsidRPr="00887718" w:rsidRDefault="00E32B3D">
      <w:pPr>
        <w:pStyle w:val="BodyText"/>
        <w:jc w:val="both"/>
        <w:rPr>
          <w:rFonts w:ascii="Times New Roman" w:hAnsi="Times New Roman"/>
          <w:color w:val="000000"/>
          <w:lang w:val="en-GB"/>
        </w:rPr>
      </w:pPr>
      <w:bookmarkStart w:id="0" w:name="_GoBack"/>
      <w:bookmarkEnd w:id="0"/>
    </w:p>
    <w:p w:rsidR="00E32B3D" w:rsidRPr="00887718" w:rsidRDefault="00E32B3D">
      <w:pPr>
        <w:pStyle w:val="BodyText"/>
        <w:jc w:val="both"/>
        <w:rPr>
          <w:rFonts w:ascii="Times New Roman" w:hAnsi="Times New Roman"/>
          <w:color w:val="000000"/>
          <w:u w:val="single"/>
          <w:lang w:val="en-GB"/>
        </w:rPr>
      </w:pPr>
      <w:r w:rsidRPr="00887718">
        <w:rPr>
          <w:rFonts w:ascii="Times New Roman" w:hAnsi="Times New Roman"/>
          <w:color w:val="000000"/>
          <w:u w:val="single"/>
          <w:lang w:val="en-GB"/>
        </w:rPr>
        <w:t>What is an event?</w:t>
      </w:r>
    </w:p>
    <w:p w:rsidR="00E32B3D" w:rsidRPr="00887718" w:rsidRDefault="00E32B3D" w:rsidP="001C5C96">
      <w:pPr>
        <w:spacing w:after="80" w:line="260" w:lineRule="atLeast"/>
        <w:jc w:val="both"/>
        <w:rPr>
          <w:color w:val="000000"/>
          <w:lang w:val="en-GB"/>
        </w:rPr>
      </w:pPr>
      <w:r w:rsidRPr="00887718">
        <w:rPr>
          <w:color w:val="000000"/>
          <w:lang w:val="en-GB"/>
        </w:rPr>
        <w:t>In plant biotechnology, th</w:t>
      </w:r>
      <w:r w:rsidR="00D5365C">
        <w:rPr>
          <w:color w:val="000000"/>
          <w:lang w:val="en-GB"/>
        </w:rPr>
        <w:t>e</w:t>
      </w:r>
      <w:r w:rsidRPr="00887718">
        <w:rPr>
          <w:color w:val="000000"/>
          <w:lang w:val="en-GB"/>
        </w:rPr>
        <w:t xml:space="preserve"> term </w:t>
      </w:r>
      <w:r w:rsidR="00D5365C">
        <w:rPr>
          <w:color w:val="000000"/>
          <w:lang w:val="en-GB"/>
        </w:rPr>
        <w:t xml:space="preserve">event </w:t>
      </w:r>
      <w:r w:rsidRPr="00887718">
        <w:rPr>
          <w:color w:val="000000"/>
          <w:lang w:val="en-GB"/>
        </w:rPr>
        <w:t xml:space="preserve">refers to </w:t>
      </w:r>
      <w:r w:rsidR="00212F5A">
        <w:rPr>
          <w:color w:val="000000"/>
          <w:lang w:val="en-GB"/>
        </w:rPr>
        <w:t>a</w:t>
      </w:r>
      <w:r w:rsidR="00212F5A" w:rsidRPr="00212F5A">
        <w:rPr>
          <w:color w:val="000000"/>
          <w:lang w:val="en-GB"/>
        </w:rPr>
        <w:t xml:space="preserve"> genetic construct inserted into a specific site</w:t>
      </w:r>
      <w:r w:rsidR="00C526C6">
        <w:rPr>
          <w:color w:val="000000"/>
          <w:lang w:val="en-GB"/>
        </w:rPr>
        <w:t xml:space="preserve"> </w:t>
      </w:r>
      <w:r w:rsidR="00212F5A" w:rsidRPr="00212F5A">
        <w:rPr>
          <w:color w:val="000000"/>
          <w:lang w:val="en-GB"/>
        </w:rPr>
        <w:t>in a plant’s genome for the purpose of conferring a phenotypic characteristic</w:t>
      </w:r>
      <w:r w:rsidR="00212F5A">
        <w:rPr>
          <w:color w:val="000000"/>
          <w:lang w:val="en-GB"/>
        </w:rPr>
        <w:t>.</w:t>
      </w:r>
      <w:r w:rsidRPr="00887718">
        <w:rPr>
          <w:color w:val="000000"/>
          <w:lang w:val="en-GB"/>
        </w:rPr>
        <w:t xml:space="preserve">  </w:t>
      </w:r>
    </w:p>
    <w:p w:rsidR="00E32B3D" w:rsidRPr="00887718" w:rsidRDefault="00E32B3D">
      <w:pPr>
        <w:spacing w:line="260" w:lineRule="atLeast"/>
        <w:jc w:val="both"/>
        <w:rPr>
          <w:color w:val="000000"/>
          <w:lang w:val="en-GB"/>
        </w:rPr>
      </w:pPr>
    </w:p>
    <w:p w:rsidR="00E32B3D" w:rsidRPr="00887718" w:rsidRDefault="00E32B3D" w:rsidP="0021179A">
      <w:pPr>
        <w:spacing w:line="260" w:lineRule="atLeast"/>
        <w:jc w:val="both"/>
        <w:rPr>
          <w:color w:val="000000"/>
          <w:u w:val="single"/>
          <w:lang w:val="en-GB"/>
        </w:rPr>
      </w:pPr>
      <w:r w:rsidRPr="00887718">
        <w:rPr>
          <w:color w:val="000000"/>
          <w:u w:val="single"/>
          <w:lang w:val="en-GB"/>
        </w:rPr>
        <w:t xml:space="preserve">What is a </w:t>
      </w:r>
      <w:r w:rsidR="000E2332">
        <w:rPr>
          <w:color w:val="000000"/>
          <w:u w:val="single"/>
          <w:lang w:val="en-GB"/>
        </w:rPr>
        <w:t>stack</w:t>
      </w:r>
      <w:r w:rsidRPr="00887718">
        <w:rPr>
          <w:color w:val="000000"/>
          <w:u w:val="single"/>
          <w:lang w:val="en-GB"/>
        </w:rPr>
        <w:t>?</w:t>
      </w:r>
    </w:p>
    <w:p w:rsidR="00E32B3D" w:rsidRPr="005D51ED" w:rsidRDefault="00E32B3D" w:rsidP="008D0746">
      <w:pPr>
        <w:pStyle w:val="NoSpacing"/>
      </w:pPr>
      <w:r w:rsidRPr="005D51ED">
        <w:t xml:space="preserve">A </w:t>
      </w:r>
      <w:r w:rsidR="000D30B0" w:rsidRPr="005D51ED">
        <w:t>stack</w:t>
      </w:r>
      <w:r w:rsidRPr="005D51ED">
        <w:rPr>
          <w:bCs/>
        </w:rPr>
        <w:t xml:space="preserve"> </w:t>
      </w:r>
      <w:r w:rsidRPr="005D51ED">
        <w:t xml:space="preserve">contains two or more </w:t>
      </w:r>
      <w:r w:rsidR="00F9310E" w:rsidRPr="005D51ED">
        <w:t>independently</w:t>
      </w:r>
      <w:r w:rsidRPr="005D51ED">
        <w:t xml:space="preserve">-created events </w:t>
      </w:r>
      <w:r w:rsidR="00241737" w:rsidRPr="005D51ED">
        <w:t>brought together in the same plant</w:t>
      </w:r>
      <w:r w:rsidR="005D51ED">
        <w:t>, seed or grain</w:t>
      </w:r>
      <w:r w:rsidR="00241737" w:rsidRPr="005D51ED">
        <w:t xml:space="preserve"> </w:t>
      </w:r>
      <w:r w:rsidR="00C526C6" w:rsidRPr="005D51ED">
        <w:t>by</w:t>
      </w:r>
      <w:r w:rsidR="00241737" w:rsidRPr="005D51ED">
        <w:t xml:space="preserve"> </w:t>
      </w:r>
      <w:r w:rsidR="00577982">
        <w:t>conventional</w:t>
      </w:r>
      <w:r w:rsidR="00577982" w:rsidRPr="005D51ED">
        <w:t xml:space="preserve"> </w:t>
      </w:r>
      <w:r w:rsidR="00241737" w:rsidRPr="005D51ED">
        <w:t>plant breeding</w:t>
      </w:r>
      <w:r w:rsidRPr="005D51ED">
        <w:t xml:space="preserve">. </w:t>
      </w:r>
      <w:r w:rsidR="001A0A39" w:rsidRPr="005D51ED">
        <w:t xml:space="preserve"> </w:t>
      </w:r>
      <w:r w:rsidRPr="005D51ED">
        <w:t xml:space="preserve">An example is the </w:t>
      </w:r>
      <w:r w:rsidR="00DC2052">
        <w:t xml:space="preserve">stacking </w:t>
      </w:r>
      <w:r w:rsidR="00DC2052" w:rsidRPr="005D51ED">
        <w:t>of</w:t>
      </w:r>
      <w:r w:rsidRPr="005D51ED">
        <w:t xml:space="preserve"> an event expressing herbicide resistance </w:t>
      </w:r>
      <w:r w:rsidRPr="008D0746">
        <w:t>and</w:t>
      </w:r>
      <w:r w:rsidRPr="005D51ED">
        <w:t xml:space="preserve"> an event expressing insect resistance. </w:t>
      </w:r>
    </w:p>
    <w:p w:rsidR="00E32B3D" w:rsidRPr="00887718" w:rsidRDefault="00E32B3D">
      <w:pPr>
        <w:pStyle w:val="Default"/>
        <w:rPr>
          <w:rFonts w:ascii="Times New Roman" w:hAnsi="Times New Roman" w:cs="Times New Roman"/>
          <w:lang w:val="en-GB"/>
        </w:rPr>
      </w:pPr>
    </w:p>
    <w:p w:rsidR="00E32B3D" w:rsidRPr="00887718" w:rsidRDefault="00B258E3">
      <w:pPr>
        <w:pStyle w:val="Default"/>
        <w:rPr>
          <w:lang w:val="en-GB"/>
        </w:rPr>
      </w:pPr>
      <w:r>
        <w:rPr>
          <w:rFonts w:ascii="Times New Roman" w:hAnsi="Times New Roman"/>
          <w:u w:val="single"/>
          <w:lang w:val="en-GB"/>
        </w:rPr>
        <w:t>Seed</w:t>
      </w:r>
      <w:r w:rsidRPr="00887718">
        <w:rPr>
          <w:rFonts w:ascii="Times New Roman" w:hAnsi="Times New Roman"/>
          <w:u w:val="single"/>
          <w:lang w:val="en-GB"/>
        </w:rPr>
        <w:t xml:space="preserve"> </w:t>
      </w:r>
      <w:r w:rsidR="00E32B3D" w:rsidRPr="00887718">
        <w:rPr>
          <w:rFonts w:ascii="Times New Roman" w:hAnsi="Times New Roman"/>
          <w:u w:val="single"/>
          <w:lang w:val="en-GB"/>
        </w:rPr>
        <w:t>stacks, field stacks and mixtures</w:t>
      </w:r>
    </w:p>
    <w:p w:rsidR="00E32B3D" w:rsidRPr="00887718" w:rsidRDefault="00921330" w:rsidP="008D0746">
      <w:pPr>
        <w:pStyle w:val="NoSpacing"/>
      </w:pPr>
      <w:r>
        <w:t>“</w:t>
      </w:r>
      <w:r w:rsidR="00B258E3">
        <w:t>Seed</w:t>
      </w:r>
      <w:r w:rsidR="00B258E3" w:rsidRPr="00921330">
        <w:t xml:space="preserve"> </w:t>
      </w:r>
      <w:r>
        <w:t>s</w:t>
      </w:r>
      <w:r w:rsidRPr="00921330">
        <w:t>tacks</w:t>
      </w:r>
      <w:r>
        <w:t>”</w:t>
      </w:r>
      <w:r w:rsidRPr="00921330">
        <w:t xml:space="preserve"> </w:t>
      </w:r>
      <w:r w:rsidR="00DC2052" w:rsidRPr="00921330">
        <w:t>(stacked</w:t>
      </w:r>
      <w:r w:rsidRPr="00921330">
        <w:t xml:space="preserve"> traits products</w:t>
      </w:r>
      <w:r w:rsidR="00415ABF">
        <w:t xml:space="preserve"> or breeding stacks</w:t>
      </w:r>
      <w:r w:rsidRPr="00921330">
        <w:t xml:space="preserve">) are those plant products produced through conventional breeding between plants carrying independent </w:t>
      </w:r>
      <w:r w:rsidR="00C526C6">
        <w:t>GM</w:t>
      </w:r>
      <w:r w:rsidRPr="00921330">
        <w:t xml:space="preserve"> events</w:t>
      </w:r>
      <w:r w:rsidR="00C526C6">
        <w:t xml:space="preserve"> (</w:t>
      </w:r>
      <w:proofErr w:type="gramStart"/>
      <w:r w:rsidR="00C526C6">
        <w:t>also</w:t>
      </w:r>
      <w:proofErr w:type="gramEnd"/>
      <w:r w:rsidR="00C526C6">
        <w:t xml:space="preserve"> refers to as </w:t>
      </w:r>
      <w:r w:rsidR="00B258E3">
        <w:t xml:space="preserve">breeding </w:t>
      </w:r>
      <w:r w:rsidR="00C526C6">
        <w:t>stack)</w:t>
      </w:r>
      <w:r w:rsidRPr="00921330">
        <w:t xml:space="preserve">. </w:t>
      </w:r>
      <w:r w:rsidR="00B258E3">
        <w:t xml:space="preserve"> </w:t>
      </w:r>
      <w:r w:rsidRPr="00921330">
        <w:t xml:space="preserve">The stacks therefore express the traits of the </w:t>
      </w:r>
      <w:r w:rsidR="005D6AC9">
        <w:t xml:space="preserve">multiple </w:t>
      </w:r>
      <w:r w:rsidRPr="00921330">
        <w:t>individual events.</w:t>
      </w:r>
      <w:r w:rsidR="00E32B3D" w:rsidRPr="00887718">
        <w:t xml:space="preserve">  A </w:t>
      </w:r>
      <w:r w:rsidR="001A0A39">
        <w:t>“</w:t>
      </w:r>
      <w:r>
        <w:t>F</w:t>
      </w:r>
      <w:r w:rsidR="00E32B3D" w:rsidRPr="00887718">
        <w:t>ield stack</w:t>
      </w:r>
      <w:r w:rsidR="001A0A39">
        <w:t>”</w:t>
      </w:r>
      <w:r w:rsidR="00E32B3D" w:rsidRPr="00887718">
        <w:t xml:space="preserve"> is an adventi</w:t>
      </w:r>
      <w:r w:rsidR="00887718">
        <w:t>ti</w:t>
      </w:r>
      <w:r w:rsidR="00E32B3D" w:rsidRPr="00887718">
        <w:t xml:space="preserve">ous combination of events arising from open pollination in the field. </w:t>
      </w:r>
      <w:r w:rsidR="001A0A39">
        <w:t xml:space="preserve"> “</w:t>
      </w:r>
      <w:r w:rsidR="000E2332">
        <w:t>M</w:t>
      </w:r>
      <w:r w:rsidR="00E32B3D" w:rsidRPr="00887718">
        <w:t>ixtures</w:t>
      </w:r>
      <w:r w:rsidR="001A0A39">
        <w:t>”</w:t>
      </w:r>
      <w:r w:rsidR="00E32B3D" w:rsidRPr="00887718">
        <w:t xml:space="preserve"> refer to the event combinations that may occur in the commodity chain when grain is mixed </w:t>
      </w:r>
      <w:r w:rsidR="00C526C6">
        <w:t>that</w:t>
      </w:r>
      <w:r w:rsidR="00C526C6" w:rsidRPr="00887718">
        <w:t xml:space="preserve"> </w:t>
      </w:r>
      <w:r w:rsidR="00E32B3D" w:rsidRPr="00887718">
        <w:t>contain</w:t>
      </w:r>
      <w:r w:rsidR="00C00E2B">
        <w:t xml:space="preserve">s multiple </w:t>
      </w:r>
      <w:r w:rsidR="00E32B3D" w:rsidRPr="00887718">
        <w:t xml:space="preserve">events, seed stacks, or field stacks.  </w:t>
      </w:r>
      <w:r w:rsidR="008A7F36">
        <w:t>C</w:t>
      </w:r>
      <w:r w:rsidR="00E32B3D" w:rsidRPr="00887718">
        <w:t xml:space="preserve">ommodity grain potentially contains </w:t>
      </w:r>
      <w:r w:rsidR="00DC2052" w:rsidRPr="00887718">
        <w:t>mixtures of</w:t>
      </w:r>
      <w:r w:rsidR="00E32B3D" w:rsidRPr="00887718">
        <w:t xml:space="preserve"> commercial events</w:t>
      </w:r>
      <w:r w:rsidR="008A7F36">
        <w:t xml:space="preserve"> and stacks</w:t>
      </w:r>
      <w:r w:rsidR="00E32B3D" w:rsidRPr="00887718">
        <w:t xml:space="preserve">. </w:t>
      </w:r>
    </w:p>
    <w:p w:rsidR="000E2332" w:rsidRPr="00E136B0" w:rsidRDefault="000E2332" w:rsidP="000E2332">
      <w:pPr>
        <w:pStyle w:val="Default"/>
        <w:rPr>
          <w:lang w:val="en-GB"/>
        </w:rPr>
      </w:pPr>
    </w:p>
    <w:p w:rsidR="00E32B3D" w:rsidRPr="00887718" w:rsidRDefault="00E32B3D">
      <w:pPr>
        <w:pStyle w:val="BodyText"/>
        <w:jc w:val="both"/>
        <w:rPr>
          <w:rFonts w:ascii="Times New Roman" w:hAnsi="Times New Roman"/>
          <w:color w:val="000000"/>
          <w:lang w:val="en-GB"/>
        </w:rPr>
      </w:pPr>
      <w:r w:rsidRPr="00887718">
        <w:rPr>
          <w:rFonts w:ascii="Times New Roman" w:hAnsi="Times New Roman"/>
          <w:color w:val="000000"/>
          <w:u w:val="single"/>
          <w:lang w:val="en-GB"/>
        </w:rPr>
        <w:t>Detection and identification of individual events</w:t>
      </w:r>
    </w:p>
    <w:p w:rsidR="00E32B3D" w:rsidRDefault="008119D2" w:rsidP="008D0746">
      <w:pPr>
        <w:pStyle w:val="NoSpacing"/>
      </w:pPr>
      <w:r>
        <w:t xml:space="preserve">The </w:t>
      </w:r>
      <w:r w:rsidR="00E32B3D" w:rsidRPr="00887718">
        <w:t>event</w:t>
      </w:r>
      <w:r>
        <w:t xml:space="preserve">s </w:t>
      </w:r>
      <w:r w:rsidR="00DC2052">
        <w:t xml:space="preserve">may </w:t>
      </w:r>
      <w:r w:rsidR="00DC2052" w:rsidRPr="00887718">
        <w:t>be</w:t>
      </w:r>
      <w:r w:rsidR="00E32B3D" w:rsidRPr="00887718">
        <w:t xml:space="preserve"> detected by a number of </w:t>
      </w:r>
      <w:r w:rsidR="00DC2052" w:rsidRPr="00887718">
        <w:t>me</w:t>
      </w:r>
      <w:r w:rsidR="00DC2052">
        <w:t>thods.</w:t>
      </w:r>
      <w:r w:rsidR="00E32B3D" w:rsidRPr="00887718">
        <w:t xml:space="preserve">  However, if the intention is to detect </w:t>
      </w:r>
      <w:r>
        <w:t>an</w:t>
      </w:r>
      <w:r w:rsidRPr="00887718">
        <w:t xml:space="preserve"> </w:t>
      </w:r>
      <w:r w:rsidR="00E32B3D" w:rsidRPr="00887718">
        <w:t>event specifically</w:t>
      </w:r>
      <w:r w:rsidR="00C72BA5">
        <w:t>,</w:t>
      </w:r>
      <w:r w:rsidR="00E32B3D" w:rsidRPr="00887718">
        <w:t xml:space="preserve"> the standard method is </w:t>
      </w:r>
      <w:r w:rsidR="005D51ED">
        <w:t xml:space="preserve">presently </w:t>
      </w:r>
      <w:r w:rsidR="00E32B3D" w:rsidRPr="00887718">
        <w:t>event-specific Polymerase Chain Reaction (PCR).</w:t>
      </w:r>
    </w:p>
    <w:p w:rsidR="00E32B3D" w:rsidRPr="00887718" w:rsidRDefault="00B258E3" w:rsidP="008D0746">
      <w:pPr>
        <w:pStyle w:val="NoSpacing"/>
      </w:pPr>
      <w:r w:rsidRPr="00887718">
        <w:t xml:space="preserve">Event-specific PCR relies on </w:t>
      </w:r>
      <w:r>
        <w:t>sequences specific to the insertion</w:t>
      </w:r>
      <w:r w:rsidR="008119D2">
        <w:t xml:space="preserve"> and its flanking sequences</w:t>
      </w:r>
      <w:r>
        <w:t xml:space="preserve">. </w:t>
      </w:r>
      <w:r w:rsidR="0050443F">
        <w:t xml:space="preserve"> These are most often derived from </w:t>
      </w:r>
      <w:r w:rsidR="00E32B3D" w:rsidRPr="00887718">
        <w:t xml:space="preserve">the anchoring of one PCR primer in the </w:t>
      </w:r>
      <w:r w:rsidR="00D43FCE" w:rsidRPr="0050443F">
        <w:t>genetic construct</w:t>
      </w:r>
      <w:r w:rsidR="00E32B3D" w:rsidRPr="00887718">
        <w:t xml:space="preserve"> inserted into the plant during the transformation process, and </w:t>
      </w:r>
      <w:r w:rsidR="006C667F">
        <w:t xml:space="preserve">the other </w:t>
      </w:r>
      <w:r w:rsidR="00E32B3D" w:rsidRPr="00887718">
        <w:lastRenderedPageBreak/>
        <w:t xml:space="preserve">PCR primer anchored in the </w:t>
      </w:r>
      <w:r w:rsidR="00D87055">
        <w:t xml:space="preserve">host genomic </w:t>
      </w:r>
      <w:r w:rsidR="00E32B3D" w:rsidRPr="00887718">
        <w:t xml:space="preserve">DNA adjacent to the insertion site </w:t>
      </w:r>
      <w:r w:rsidR="00DC2052" w:rsidRPr="00887718">
        <w:t>(</w:t>
      </w:r>
      <w:r w:rsidR="00DC2052">
        <w:t>flanking</w:t>
      </w:r>
      <w:r w:rsidR="00E32B3D" w:rsidRPr="00887718">
        <w:t xml:space="preserve"> sequence</w:t>
      </w:r>
      <w:r w:rsidR="008119D2">
        <w:t>s</w:t>
      </w:r>
      <w:r w:rsidR="00E32B3D" w:rsidRPr="00887718">
        <w:t xml:space="preserve">).  In real-time PCR, a probe will also be defined, which </w:t>
      </w:r>
      <w:r w:rsidR="00921330">
        <w:t>is</w:t>
      </w:r>
      <w:r w:rsidR="00E32B3D" w:rsidRPr="00887718">
        <w:t xml:space="preserve"> located </w:t>
      </w:r>
      <w:r w:rsidR="0050443F">
        <w:t>between the PCR primers</w:t>
      </w:r>
      <w:r w:rsidR="00E32B3D" w:rsidRPr="00887718">
        <w:t xml:space="preserve">.  </w:t>
      </w:r>
      <w:r w:rsidR="000B026F">
        <w:t xml:space="preserve">The event-specific </w:t>
      </w:r>
      <w:r w:rsidR="00E32B3D" w:rsidRPr="00887718">
        <w:t>PCR, when properly validated, will amplify DNA from</w:t>
      </w:r>
      <w:r w:rsidR="001A0A39">
        <w:t xml:space="preserve"> only</w:t>
      </w:r>
      <w:r w:rsidR="00E32B3D" w:rsidRPr="00887718">
        <w:t xml:space="preserve"> the specific event to the exclusion of </w:t>
      </w:r>
      <w:r w:rsidR="00C03F3B">
        <w:t xml:space="preserve">all other events and </w:t>
      </w:r>
      <w:r w:rsidR="00E32B3D" w:rsidRPr="00887718">
        <w:t>non-transformed plant lines</w:t>
      </w:r>
      <w:r w:rsidR="00C03F3B">
        <w:t>.</w:t>
      </w:r>
    </w:p>
    <w:p w:rsidR="00E32B3D" w:rsidRPr="00887718" w:rsidRDefault="00E32B3D">
      <w:pPr>
        <w:pStyle w:val="BodyText"/>
        <w:jc w:val="both"/>
        <w:rPr>
          <w:rFonts w:ascii="Times New Roman" w:hAnsi="Times New Roman"/>
          <w:lang w:val="en-GB"/>
        </w:rPr>
      </w:pPr>
    </w:p>
    <w:p w:rsidR="00E32B3D" w:rsidRPr="00887718" w:rsidRDefault="00E32B3D">
      <w:pPr>
        <w:pStyle w:val="BodyText"/>
        <w:jc w:val="both"/>
        <w:rPr>
          <w:rFonts w:ascii="Times New Roman" w:hAnsi="Times New Roman"/>
          <w:color w:val="000000"/>
          <w:u w:val="single"/>
          <w:lang w:val="en-GB"/>
        </w:rPr>
      </w:pPr>
      <w:r w:rsidRPr="00887718">
        <w:rPr>
          <w:rFonts w:ascii="Times New Roman" w:hAnsi="Times New Roman"/>
          <w:color w:val="000000"/>
          <w:u w:val="single"/>
          <w:lang w:val="en-GB"/>
        </w:rPr>
        <w:t>Detection and identification of stacks</w:t>
      </w:r>
    </w:p>
    <w:p w:rsidR="00E64A57" w:rsidRDefault="00E32B3D" w:rsidP="008C4816">
      <w:pPr>
        <w:pStyle w:val="NoSpacing"/>
        <w:jc w:val="left"/>
      </w:pPr>
      <w:r w:rsidRPr="00887718">
        <w:t xml:space="preserve">In most, if not all cases, the inserted DNA </w:t>
      </w:r>
      <w:r w:rsidR="000E2332">
        <w:t>from</w:t>
      </w:r>
      <w:r w:rsidR="000E2332" w:rsidRPr="00887718">
        <w:t xml:space="preserve"> </w:t>
      </w:r>
      <w:r w:rsidRPr="00887718">
        <w:t xml:space="preserve">different events </w:t>
      </w:r>
      <w:r w:rsidR="000E2332">
        <w:t xml:space="preserve">in a stack </w:t>
      </w:r>
      <w:r w:rsidRPr="00887718">
        <w:t>is located on different chromosomes</w:t>
      </w:r>
      <w:r w:rsidR="008C4816">
        <w:t xml:space="preserve"> or different members of a homologous pair</w:t>
      </w:r>
      <w:r w:rsidR="00B258E3">
        <w:t>.  Even if the insertions</w:t>
      </w:r>
      <w:r w:rsidR="00B258E3" w:rsidRPr="00B258E3">
        <w:t xml:space="preserve"> are on the same </w:t>
      </w:r>
      <w:r w:rsidR="008C4816">
        <w:t>DNA molecule</w:t>
      </w:r>
      <w:r w:rsidR="008119D2">
        <w:t xml:space="preserve">, the physical distance between the insertions </w:t>
      </w:r>
      <w:r w:rsidR="00E64A57">
        <w:t>may</w:t>
      </w:r>
      <w:r w:rsidR="008119D2">
        <w:t xml:space="preserve"> not be short </w:t>
      </w:r>
      <w:r w:rsidR="003B1F78">
        <w:t>enough</w:t>
      </w:r>
      <w:r w:rsidR="00E64A57">
        <w:t xml:space="preserve"> </w:t>
      </w:r>
      <w:r w:rsidR="008A7F36">
        <w:t xml:space="preserve">to cover with </w:t>
      </w:r>
      <w:r w:rsidR="00E64A57">
        <w:t>a single PCR assay due to the technological limitations</w:t>
      </w:r>
      <w:r w:rsidR="008A7F36" w:rsidRPr="008A7F36">
        <w:t xml:space="preserve"> </w:t>
      </w:r>
      <w:r w:rsidR="008A7F36">
        <w:t>of PCR</w:t>
      </w:r>
      <w:r w:rsidR="00E64A57">
        <w:t xml:space="preserve">. </w:t>
      </w:r>
      <w:r w:rsidR="00B258E3">
        <w:t>Thus the components of a stack</w:t>
      </w:r>
      <w:r w:rsidR="0087126C" w:rsidRPr="0087126C">
        <w:t xml:space="preserve"> </w:t>
      </w:r>
      <w:r w:rsidR="00B258E3">
        <w:t>can</w:t>
      </w:r>
      <w:r w:rsidR="006C667F">
        <w:t>not</w:t>
      </w:r>
      <w:r w:rsidR="001B5E1A">
        <w:t xml:space="preserve"> be</w:t>
      </w:r>
      <w:r w:rsidR="006C667F">
        <w:t xml:space="preserve"> detected by</w:t>
      </w:r>
      <w:r w:rsidR="001B5E1A">
        <w:t xml:space="preserve"> </w:t>
      </w:r>
      <w:r w:rsidR="000B026F">
        <w:t xml:space="preserve">a single PCR </w:t>
      </w:r>
      <w:r w:rsidR="006C667F">
        <w:t xml:space="preserve">assay </w:t>
      </w:r>
      <w:r w:rsidR="000B026F">
        <w:t>method</w:t>
      </w:r>
      <w:r w:rsidR="0087126C">
        <w:t>.</w:t>
      </w:r>
      <w:r w:rsidR="00B258E3">
        <w:t xml:space="preserve"> </w:t>
      </w:r>
      <w:r w:rsidR="0087126C">
        <w:t xml:space="preserve"> </w:t>
      </w:r>
      <w:r w:rsidR="00C60480">
        <w:t xml:space="preserve">Therefore, </w:t>
      </w:r>
      <w:r w:rsidR="00B258E3">
        <w:t>a</w:t>
      </w:r>
      <w:r w:rsidR="00415ABF">
        <w:t xml:space="preserve"> </w:t>
      </w:r>
      <w:r w:rsidR="00C04F82">
        <w:t>P</w:t>
      </w:r>
      <w:r w:rsidRPr="00887718">
        <w:t xml:space="preserve">CR </w:t>
      </w:r>
      <w:r w:rsidR="00B258E3">
        <w:t xml:space="preserve">methodology </w:t>
      </w:r>
      <w:r w:rsidRPr="00887718">
        <w:t xml:space="preserve">cannot be designed to </w:t>
      </w:r>
      <w:r w:rsidRPr="00E64A57">
        <w:t>specifically</w:t>
      </w:r>
      <w:r w:rsidR="00E64A57" w:rsidRPr="00E64A57">
        <w:t xml:space="preserve"> </w:t>
      </w:r>
      <w:r w:rsidR="00C03F3B" w:rsidRPr="00E64A57">
        <w:t xml:space="preserve">establish </w:t>
      </w:r>
      <w:r w:rsidR="008E2D9F" w:rsidRPr="00BF6A09">
        <w:t xml:space="preserve">multiple events </w:t>
      </w:r>
      <w:r w:rsidR="00892A42" w:rsidRPr="00BF6A09">
        <w:t xml:space="preserve">as components of </w:t>
      </w:r>
      <w:r w:rsidR="008E2D9F" w:rsidRPr="00E64A57">
        <w:t xml:space="preserve">a </w:t>
      </w:r>
      <w:r w:rsidRPr="00E64A57">
        <w:t>stack</w:t>
      </w:r>
      <w:r w:rsidRPr="00887718">
        <w:t xml:space="preserve">. </w:t>
      </w:r>
      <w:r w:rsidR="000E2332">
        <w:t xml:space="preserve"> </w:t>
      </w:r>
      <w:r w:rsidR="000E2332">
        <w:br/>
      </w:r>
    </w:p>
    <w:p w:rsidR="008D0746" w:rsidRDefault="000E2332" w:rsidP="00E64A57">
      <w:pPr>
        <w:pStyle w:val="NoSpacing"/>
      </w:pPr>
      <w:r>
        <w:t>Analysis</w:t>
      </w:r>
      <w:r w:rsidR="00E32B3D" w:rsidRPr="00887718">
        <w:t xml:space="preserve"> </w:t>
      </w:r>
      <w:r w:rsidR="00331BD2">
        <w:t xml:space="preserve">of individual seed, plants or grain, </w:t>
      </w:r>
      <w:r>
        <w:t>using</w:t>
      </w:r>
      <w:r w:rsidR="00E32B3D" w:rsidRPr="00887718">
        <w:t xml:space="preserve"> multiple</w:t>
      </w:r>
      <w:r w:rsidR="001A0A39">
        <w:t>,</w:t>
      </w:r>
      <w:r w:rsidR="00E32B3D" w:rsidRPr="00887718">
        <w:t xml:space="preserve"> event</w:t>
      </w:r>
      <w:r w:rsidR="007A077E" w:rsidRPr="00887718">
        <w:t>-</w:t>
      </w:r>
      <w:r w:rsidR="00E32B3D" w:rsidRPr="00887718">
        <w:t xml:space="preserve">specific PCR </w:t>
      </w:r>
      <w:r w:rsidR="00503657">
        <w:t>assays</w:t>
      </w:r>
      <w:r w:rsidR="00503657" w:rsidRPr="00887718">
        <w:t xml:space="preserve"> </w:t>
      </w:r>
      <w:r w:rsidR="00E32B3D" w:rsidRPr="00887718">
        <w:t xml:space="preserve">can </w:t>
      </w:r>
      <w:r w:rsidR="007B5851">
        <w:t>determine</w:t>
      </w:r>
      <w:r w:rsidR="007B5851" w:rsidRPr="00887718">
        <w:t xml:space="preserve"> </w:t>
      </w:r>
      <w:r w:rsidR="00E32B3D" w:rsidRPr="00887718">
        <w:t>if stack</w:t>
      </w:r>
      <w:r w:rsidR="00331BD2">
        <w:t>s are present in that sample</w:t>
      </w:r>
      <w:r w:rsidR="00E32B3D" w:rsidRPr="00887718">
        <w:t xml:space="preserve">.  </w:t>
      </w:r>
      <w:r>
        <w:t>However, i</w:t>
      </w:r>
      <w:r w:rsidR="00E32B3D" w:rsidRPr="00887718">
        <w:t>f a number of seeds (or more commonly</w:t>
      </w:r>
      <w:r w:rsidR="008E2D9F">
        <w:t>,</w:t>
      </w:r>
      <w:r w:rsidR="00E32B3D" w:rsidRPr="00887718">
        <w:t xml:space="preserve"> grains from a bulk shipment) are subjected to PCR as a bulk sample</w:t>
      </w:r>
      <w:r w:rsidR="008E2D9F">
        <w:t>,</w:t>
      </w:r>
      <w:r w:rsidR="00E32B3D" w:rsidRPr="00887718">
        <w:t xml:space="preserve"> results</w:t>
      </w:r>
      <w:r w:rsidR="00331BD2">
        <w:t xml:space="preserve"> will indicate the </w:t>
      </w:r>
      <w:r w:rsidR="002E04E5">
        <w:t>presen</w:t>
      </w:r>
      <w:r w:rsidR="001C059B">
        <w:t>ce</w:t>
      </w:r>
      <w:r w:rsidR="002E04E5">
        <w:t xml:space="preserve"> </w:t>
      </w:r>
      <w:r w:rsidR="00331BD2">
        <w:t xml:space="preserve">of </w:t>
      </w:r>
      <w:r w:rsidR="002E04E5">
        <w:t xml:space="preserve">multiple </w:t>
      </w:r>
      <w:r w:rsidR="00331BD2">
        <w:t>events in the sample but cannot distinguish between stacks or individual events.</w:t>
      </w:r>
    </w:p>
    <w:p w:rsidR="00AE2713" w:rsidRDefault="007B5851">
      <w:pPr>
        <w:pStyle w:val="NoSpacing"/>
      </w:pPr>
      <w:r>
        <w:t>P</w:t>
      </w:r>
      <w:r w:rsidR="00AE2713">
        <w:t xml:space="preserve">ositive </w:t>
      </w:r>
      <w:r>
        <w:t>event-specific PCR</w:t>
      </w:r>
      <w:r w:rsidR="00AE2713">
        <w:t xml:space="preserve"> result</w:t>
      </w:r>
      <w:r>
        <w:t>s</w:t>
      </w:r>
      <w:r w:rsidR="00AE2713">
        <w:t xml:space="preserve"> indicating more than one event can arise via </w:t>
      </w:r>
      <w:r w:rsidR="00E32B3D" w:rsidRPr="00887718">
        <w:t>one of several</w:t>
      </w:r>
      <w:r w:rsidR="00AE2713">
        <w:t xml:space="preserve"> possibilities</w:t>
      </w:r>
      <w:r w:rsidR="00E32B3D" w:rsidRPr="00887718">
        <w:t xml:space="preserve">: </w:t>
      </w:r>
    </w:p>
    <w:p w:rsidR="00AE2713" w:rsidRDefault="00E32B3D" w:rsidP="00E136B0">
      <w:pPr>
        <w:pStyle w:val="BodyText"/>
        <w:numPr>
          <w:ilvl w:val="0"/>
          <w:numId w:val="6"/>
        </w:numPr>
        <w:rPr>
          <w:rFonts w:ascii="Times New Roman" w:hAnsi="Times New Roman"/>
          <w:color w:val="000000"/>
          <w:lang w:val="en-GB"/>
        </w:rPr>
      </w:pPr>
      <w:r w:rsidRPr="00887718">
        <w:rPr>
          <w:rFonts w:ascii="Times New Roman" w:hAnsi="Times New Roman"/>
          <w:color w:val="000000"/>
          <w:lang w:val="en-GB"/>
        </w:rPr>
        <w:t>a mix of seeds containing non-</w:t>
      </w:r>
      <w:r w:rsidR="00611300">
        <w:rPr>
          <w:rFonts w:ascii="Times New Roman" w:hAnsi="Times New Roman"/>
          <w:color w:val="000000"/>
          <w:lang w:val="en-GB"/>
        </w:rPr>
        <w:t>transgenic</w:t>
      </w:r>
      <w:r w:rsidR="00611300" w:rsidRPr="00887718">
        <w:rPr>
          <w:rFonts w:ascii="Times New Roman" w:hAnsi="Times New Roman"/>
          <w:color w:val="000000"/>
          <w:lang w:val="en-GB"/>
        </w:rPr>
        <w:t xml:space="preserve"> </w:t>
      </w:r>
      <w:r w:rsidRPr="00887718">
        <w:rPr>
          <w:rFonts w:ascii="Times New Roman" w:hAnsi="Times New Roman"/>
          <w:color w:val="000000"/>
          <w:lang w:val="en-GB"/>
        </w:rPr>
        <w:t xml:space="preserve">and </w:t>
      </w:r>
      <w:r w:rsidR="00AE2713">
        <w:rPr>
          <w:rFonts w:ascii="Times New Roman" w:hAnsi="Times New Roman"/>
          <w:color w:val="000000"/>
          <w:lang w:val="en-GB"/>
        </w:rPr>
        <w:t xml:space="preserve">multiple </w:t>
      </w:r>
      <w:r w:rsidRPr="00887718">
        <w:rPr>
          <w:rFonts w:ascii="Times New Roman" w:hAnsi="Times New Roman"/>
          <w:color w:val="000000"/>
          <w:lang w:val="en-GB"/>
        </w:rPr>
        <w:t xml:space="preserve">individual events; </w:t>
      </w:r>
    </w:p>
    <w:p w:rsidR="00AE2713" w:rsidRDefault="00E32B3D" w:rsidP="00E136B0">
      <w:pPr>
        <w:pStyle w:val="BodyText"/>
        <w:numPr>
          <w:ilvl w:val="0"/>
          <w:numId w:val="6"/>
        </w:numPr>
        <w:rPr>
          <w:rFonts w:ascii="Times New Roman" w:hAnsi="Times New Roman"/>
          <w:color w:val="000000"/>
          <w:lang w:val="en-GB"/>
        </w:rPr>
      </w:pPr>
      <w:r w:rsidRPr="00887718">
        <w:rPr>
          <w:rFonts w:ascii="Times New Roman" w:hAnsi="Times New Roman"/>
          <w:color w:val="000000"/>
          <w:lang w:val="en-GB"/>
        </w:rPr>
        <w:t xml:space="preserve">a mix </w:t>
      </w:r>
      <w:r w:rsidR="00AC2D15">
        <w:rPr>
          <w:rFonts w:ascii="Times New Roman" w:hAnsi="Times New Roman"/>
          <w:color w:val="000000"/>
          <w:lang w:val="en-GB"/>
        </w:rPr>
        <w:t xml:space="preserve">of seeds </w:t>
      </w:r>
      <w:r w:rsidRPr="00887718">
        <w:rPr>
          <w:rFonts w:ascii="Times New Roman" w:hAnsi="Times New Roman"/>
          <w:color w:val="000000"/>
          <w:lang w:val="en-GB"/>
        </w:rPr>
        <w:t>containing non-</w:t>
      </w:r>
      <w:r w:rsidR="00921330">
        <w:rPr>
          <w:rFonts w:ascii="Times New Roman" w:hAnsi="Times New Roman"/>
          <w:color w:val="000000"/>
          <w:lang w:val="en-GB"/>
        </w:rPr>
        <w:t>transgenic</w:t>
      </w:r>
      <w:r w:rsidR="00921330" w:rsidRPr="00887718">
        <w:rPr>
          <w:rFonts w:ascii="Times New Roman" w:hAnsi="Times New Roman"/>
          <w:color w:val="000000"/>
          <w:lang w:val="en-GB"/>
        </w:rPr>
        <w:t xml:space="preserve"> </w:t>
      </w:r>
      <w:r w:rsidRPr="00887718">
        <w:rPr>
          <w:rFonts w:ascii="Times New Roman" w:hAnsi="Times New Roman"/>
          <w:color w:val="000000"/>
          <w:lang w:val="en-GB"/>
        </w:rPr>
        <w:t>and stack</w:t>
      </w:r>
      <w:r w:rsidR="00AE2713">
        <w:rPr>
          <w:rFonts w:ascii="Times New Roman" w:hAnsi="Times New Roman"/>
          <w:color w:val="000000"/>
          <w:lang w:val="en-GB"/>
        </w:rPr>
        <w:t>s</w:t>
      </w:r>
      <w:r w:rsidRPr="00887718">
        <w:rPr>
          <w:rFonts w:ascii="Times New Roman" w:hAnsi="Times New Roman"/>
          <w:color w:val="000000"/>
          <w:lang w:val="en-GB"/>
        </w:rPr>
        <w:t xml:space="preserve">; or </w:t>
      </w:r>
    </w:p>
    <w:p w:rsidR="00AE2713" w:rsidRDefault="00E32B3D" w:rsidP="00E136B0">
      <w:pPr>
        <w:pStyle w:val="BodyText"/>
        <w:numPr>
          <w:ilvl w:val="0"/>
          <w:numId w:val="6"/>
        </w:numPr>
        <w:rPr>
          <w:rFonts w:ascii="Times New Roman" w:hAnsi="Times New Roman"/>
          <w:color w:val="000000"/>
          <w:lang w:val="en-GB"/>
        </w:rPr>
      </w:pPr>
      <w:proofErr w:type="gramStart"/>
      <w:r w:rsidRPr="00887718">
        <w:rPr>
          <w:rFonts w:ascii="Times New Roman" w:hAnsi="Times New Roman"/>
          <w:color w:val="000000"/>
          <w:lang w:val="en-GB"/>
        </w:rPr>
        <w:t>a</w:t>
      </w:r>
      <w:proofErr w:type="gramEnd"/>
      <w:r w:rsidRPr="00887718">
        <w:rPr>
          <w:rFonts w:ascii="Times New Roman" w:hAnsi="Times New Roman"/>
          <w:color w:val="000000"/>
          <w:lang w:val="en-GB"/>
        </w:rPr>
        <w:t xml:space="preserve"> mix </w:t>
      </w:r>
      <w:r w:rsidR="00AC2D15">
        <w:rPr>
          <w:rFonts w:ascii="Times New Roman" w:hAnsi="Times New Roman"/>
          <w:color w:val="000000"/>
          <w:lang w:val="en-GB"/>
        </w:rPr>
        <w:t xml:space="preserve">of seeds </w:t>
      </w:r>
      <w:r w:rsidRPr="00887718">
        <w:rPr>
          <w:rFonts w:ascii="Times New Roman" w:hAnsi="Times New Roman"/>
          <w:color w:val="000000"/>
          <w:lang w:val="en-GB"/>
        </w:rPr>
        <w:t>containing non-</w:t>
      </w:r>
      <w:r w:rsidR="00921330">
        <w:rPr>
          <w:rFonts w:ascii="Times New Roman" w:hAnsi="Times New Roman"/>
          <w:color w:val="000000"/>
          <w:lang w:val="en-GB"/>
        </w:rPr>
        <w:t>transgenic</w:t>
      </w:r>
      <w:r w:rsidRPr="00887718">
        <w:rPr>
          <w:rFonts w:ascii="Times New Roman" w:hAnsi="Times New Roman"/>
          <w:color w:val="000000"/>
          <w:lang w:val="en-GB"/>
        </w:rPr>
        <w:t xml:space="preserve">, individual events and stacks.  </w:t>
      </w:r>
    </w:p>
    <w:p w:rsidR="00AE2713" w:rsidRPr="00887718" w:rsidRDefault="00AE2713" w:rsidP="008D0746">
      <w:pPr>
        <w:pStyle w:val="NoSpacing"/>
      </w:pPr>
      <w:r>
        <w:t xml:space="preserve">Analysis </w:t>
      </w:r>
      <w:r w:rsidRPr="00887718">
        <w:t>cannot differentiate between intentional seed stacks and adventitious field stacks, because on a molecular level these two types of stacks appear identical.</w:t>
      </w:r>
    </w:p>
    <w:p w:rsidR="00E32B3D" w:rsidRDefault="00AE2713">
      <w:pPr>
        <w:pStyle w:val="NoSpacing"/>
      </w:pPr>
      <w:r>
        <w:t xml:space="preserve">The results can be </w:t>
      </w:r>
      <w:r w:rsidR="00E32B3D" w:rsidRPr="00887718">
        <w:t xml:space="preserve">especially difficult to </w:t>
      </w:r>
      <w:r>
        <w:t xml:space="preserve">interpret </w:t>
      </w:r>
      <w:r w:rsidR="00E32B3D" w:rsidRPr="00887718">
        <w:t>if the</w:t>
      </w:r>
      <w:r>
        <w:t xml:space="preserve">y </w:t>
      </w:r>
      <w:r w:rsidR="00E32B3D" w:rsidRPr="00887718">
        <w:t>indicate a low level of events in the sample.  This can be illustrated by an example of samples each containing 1000 seeds/grains</w:t>
      </w:r>
      <w:r w:rsidR="009475DB">
        <w:t xml:space="preserve"> </w:t>
      </w:r>
      <w:r w:rsidR="0021179A">
        <w:t>(</w:t>
      </w:r>
      <w:r w:rsidR="009475DB">
        <w:t xml:space="preserve">assuming </w:t>
      </w:r>
      <w:r w:rsidR="0021179A">
        <w:t xml:space="preserve">that </w:t>
      </w:r>
      <w:r w:rsidR="007B5851">
        <w:t xml:space="preserve">event-specific </w:t>
      </w:r>
      <w:r w:rsidR="009475DB">
        <w:t>PCR assays were properly validated and have a limit of detection of less than 0.1%</w:t>
      </w:r>
      <w:r w:rsidR="0021179A">
        <w:t>)</w:t>
      </w:r>
      <w:r>
        <w:t xml:space="preserve"> as shown in Table</w:t>
      </w:r>
      <w:r w:rsidR="00B70C65">
        <w:t>s</w:t>
      </w:r>
      <w:r>
        <w:t xml:space="preserve"> 1</w:t>
      </w:r>
      <w:r w:rsidR="00B70C65">
        <w:t xml:space="preserve"> and 2</w:t>
      </w:r>
      <w:r>
        <w:t>.</w:t>
      </w:r>
    </w:p>
    <w:p w:rsidR="007B3FC3" w:rsidRPr="001C5C96" w:rsidRDefault="007B3FC3" w:rsidP="001C5C96">
      <w:pPr>
        <w:pStyle w:val="Default"/>
        <w:rPr>
          <w:rFonts w:asciiTheme="majorBidi" w:hAnsiTheme="majorBidi" w:cstheme="majorBidi"/>
          <w:lang w:val="en-GB"/>
        </w:rPr>
      </w:pPr>
    </w:p>
    <w:p w:rsidR="00E32B3D" w:rsidRPr="00887718" w:rsidRDefault="00E32B3D">
      <w:pPr>
        <w:pStyle w:val="BodyText"/>
        <w:jc w:val="both"/>
        <w:rPr>
          <w:rFonts w:ascii="Times New Roman" w:hAnsi="Times New Roman"/>
          <w:color w:val="000000"/>
          <w:lang w:val="en-GB"/>
        </w:rPr>
      </w:pPr>
      <w:r w:rsidRPr="001C5C96">
        <w:rPr>
          <w:rFonts w:ascii="Times New Roman" w:hAnsi="Times New Roman"/>
          <w:b/>
          <w:bCs/>
          <w:color w:val="000000"/>
          <w:lang w:val="en-GB"/>
        </w:rPr>
        <w:t>Table 1</w:t>
      </w:r>
      <w:r w:rsidRPr="00887718">
        <w:rPr>
          <w:rFonts w:ascii="Times New Roman" w:hAnsi="Times New Roman"/>
          <w:color w:val="000000"/>
          <w:lang w:val="en-GB"/>
        </w:rPr>
        <w:t xml:space="preserve">: Expected results of </w:t>
      </w:r>
      <w:r w:rsidR="00F0208F" w:rsidRPr="00887718">
        <w:rPr>
          <w:rFonts w:ascii="Times New Roman" w:hAnsi="Times New Roman"/>
          <w:color w:val="000000"/>
          <w:lang w:val="en-GB"/>
        </w:rPr>
        <w:t>qualitative</w:t>
      </w:r>
      <w:r w:rsidR="001A0A39">
        <w:rPr>
          <w:rFonts w:ascii="Times New Roman" w:hAnsi="Times New Roman"/>
          <w:color w:val="000000"/>
          <w:lang w:val="en-GB"/>
        </w:rPr>
        <w:t>,</w:t>
      </w:r>
      <w:r w:rsidR="00F0208F" w:rsidRPr="00887718">
        <w:rPr>
          <w:rFonts w:ascii="Times New Roman" w:hAnsi="Times New Roman"/>
          <w:color w:val="000000"/>
          <w:lang w:val="en-GB"/>
        </w:rPr>
        <w:t xml:space="preserve"> </w:t>
      </w:r>
      <w:r w:rsidRPr="00887718">
        <w:rPr>
          <w:rFonts w:ascii="Times New Roman" w:hAnsi="Times New Roman"/>
          <w:color w:val="000000"/>
          <w:lang w:val="en-GB"/>
        </w:rPr>
        <w:t>event-specific PCR tests on</w:t>
      </w:r>
      <w:r w:rsidR="00EB6725">
        <w:rPr>
          <w:rFonts w:ascii="Times New Roman" w:hAnsi="Times New Roman"/>
          <w:color w:val="000000"/>
          <w:lang w:val="en-GB"/>
        </w:rPr>
        <w:t xml:space="preserve"> </w:t>
      </w:r>
      <w:r w:rsidR="008A7F36">
        <w:rPr>
          <w:rFonts w:ascii="Times New Roman" w:hAnsi="Times New Roman"/>
          <w:color w:val="000000"/>
          <w:lang w:val="en-GB"/>
        </w:rPr>
        <w:t>individual</w:t>
      </w:r>
      <w:r w:rsidR="008A7F36" w:rsidRPr="00887718">
        <w:rPr>
          <w:rFonts w:ascii="Times New Roman" w:hAnsi="Times New Roman"/>
          <w:color w:val="000000"/>
          <w:lang w:val="en-GB"/>
        </w:rPr>
        <w:t xml:space="preserve"> </w:t>
      </w:r>
      <w:r w:rsidR="00577982">
        <w:rPr>
          <w:rFonts w:ascii="Times New Roman" w:hAnsi="Times New Roman"/>
          <w:color w:val="000000"/>
          <w:lang w:val="en-GB"/>
        </w:rPr>
        <w:t>1000</w:t>
      </w:r>
      <w:r w:rsidR="00EB6725">
        <w:rPr>
          <w:rFonts w:ascii="Times New Roman" w:hAnsi="Times New Roman"/>
          <w:color w:val="000000"/>
          <w:lang w:val="en-GB"/>
        </w:rPr>
        <w:t>-</w:t>
      </w:r>
      <w:r w:rsidR="00B258E3">
        <w:rPr>
          <w:rFonts w:ascii="Times New Roman" w:hAnsi="Times New Roman"/>
          <w:color w:val="000000"/>
          <w:lang w:val="en-GB"/>
        </w:rPr>
        <w:t xml:space="preserve">seed/grain </w:t>
      </w:r>
      <w:r w:rsidRPr="00887718">
        <w:rPr>
          <w:rFonts w:ascii="Times New Roman" w:hAnsi="Times New Roman"/>
          <w:color w:val="000000"/>
          <w:lang w:val="en-GB"/>
        </w:rPr>
        <w:t>sample</w:t>
      </w:r>
      <w:r w:rsidR="008A7F36">
        <w:rPr>
          <w:rFonts w:ascii="Times New Roman" w:hAnsi="Times New Roman"/>
          <w:color w:val="000000"/>
          <w:lang w:val="en-GB"/>
        </w:rPr>
        <w:t>s</w:t>
      </w:r>
      <w:r w:rsidRPr="00887718">
        <w:rPr>
          <w:rFonts w:ascii="Times New Roman" w:hAnsi="Times New Roman"/>
          <w:color w:val="000000"/>
          <w:lang w:val="en-GB"/>
        </w:rPr>
        <w:t xml:space="preserve"> containing single and stacked events.</w:t>
      </w: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990"/>
        <w:gridCol w:w="1170"/>
        <w:gridCol w:w="1170"/>
        <w:gridCol w:w="1350"/>
        <w:gridCol w:w="1440"/>
        <w:gridCol w:w="1440"/>
      </w:tblGrid>
      <w:tr w:rsidR="00E32B3D" w:rsidRPr="008E2D9F" w:rsidTr="001C5C96"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Sample #</w:t>
            </w:r>
          </w:p>
        </w:tc>
        <w:tc>
          <w:tcPr>
            <w:tcW w:w="4680" w:type="dxa"/>
            <w:gridSpan w:val="4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Number of each type of seed in the sample 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7B3FC3" w:rsidRPr="008E2D9F" w:rsidTr="001C5C96">
        <w:trPr>
          <w:trHeight w:val="530"/>
        </w:trPr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E32B3D" w:rsidRPr="001C5C96" w:rsidRDefault="00E32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Event 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2B3D" w:rsidRPr="001C5C96" w:rsidRDefault="00E32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Event 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2B3D" w:rsidRPr="001C5C96" w:rsidRDefault="00E32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Event</w:t>
            </w:r>
            <w:r w:rsidR="007B3FC3"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  <w:p w:rsidR="00E32B3D" w:rsidRPr="001C5C96" w:rsidRDefault="0057798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×</w:t>
            </w:r>
            <w:r w:rsidR="00E32B3D"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Event</w:t>
            </w:r>
            <w:r w:rsidR="007B3FC3"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E32B3D"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 stack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E32B3D" w:rsidRPr="001C5C96" w:rsidRDefault="00E32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Non-transgenic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2B3D" w:rsidRPr="001C5C96" w:rsidRDefault="00E32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Theoretical Result PCR</w:t>
            </w:r>
            <w:r w:rsidR="008E2D9F"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="008E2D9F"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32B3D" w:rsidRPr="001C5C96" w:rsidRDefault="00E32B3D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Theoretical Result PCR</w:t>
            </w:r>
            <w:r w:rsidR="008E2D9F"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  <w:r w:rsidR="008E2D9F"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**</w:t>
            </w:r>
          </w:p>
        </w:tc>
      </w:tr>
      <w:tr w:rsidR="007B3FC3" w:rsidRPr="008E2D9F" w:rsidTr="001C5C96"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99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999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Negative</w:t>
            </w:r>
          </w:p>
        </w:tc>
      </w:tr>
      <w:tr w:rsidR="007B3FC3" w:rsidRPr="008E2D9F" w:rsidTr="001C5C96"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99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999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</w:tr>
      <w:tr w:rsidR="007B3FC3" w:rsidRPr="008E2D9F" w:rsidTr="001C5C96"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99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999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</w:tr>
      <w:tr w:rsidR="007B3FC3" w:rsidRPr="008E2D9F" w:rsidTr="001C5C96"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99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35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998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</w:tr>
      <w:tr w:rsidR="007B3FC3" w:rsidRPr="008E2D9F" w:rsidTr="001C5C96"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99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998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</w:tr>
      <w:tr w:rsidR="007B3FC3" w:rsidRPr="008E2D9F" w:rsidTr="001C5C96"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998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</w:tr>
      <w:tr w:rsidR="007B3FC3" w:rsidRPr="008E2D9F" w:rsidTr="001C5C96">
        <w:tc>
          <w:tcPr>
            <w:tcW w:w="108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99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35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997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  <w:tc>
          <w:tcPr>
            <w:tcW w:w="144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1C5C9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Positive</w:t>
            </w:r>
          </w:p>
        </w:tc>
      </w:tr>
    </w:tbl>
    <w:p w:rsidR="008E2D9F" w:rsidRPr="001C5C96" w:rsidRDefault="008E2D9F">
      <w:pPr>
        <w:pStyle w:val="Default"/>
        <w:rPr>
          <w:rFonts w:asciiTheme="majorBidi" w:hAnsiTheme="majorBidi" w:cstheme="majorBidi"/>
          <w:sz w:val="8"/>
          <w:szCs w:val="8"/>
          <w:lang w:val="en-GB"/>
        </w:rPr>
      </w:pPr>
    </w:p>
    <w:p w:rsidR="00E32B3D" w:rsidRPr="001C5C96" w:rsidRDefault="008E2D9F">
      <w:pPr>
        <w:pStyle w:val="Default"/>
        <w:rPr>
          <w:rFonts w:asciiTheme="majorBidi" w:hAnsiTheme="majorBidi" w:cstheme="majorBidi"/>
          <w:lang w:val="en-GB"/>
        </w:rPr>
      </w:pPr>
      <w:r>
        <w:rPr>
          <w:rFonts w:asciiTheme="majorBidi" w:hAnsiTheme="majorBidi" w:cstheme="majorBidi"/>
          <w:lang w:val="en-GB"/>
        </w:rPr>
        <w:lastRenderedPageBreak/>
        <w:t>**PCR 1 targets Event 1; PCR 2 targets Event 2.</w:t>
      </w:r>
    </w:p>
    <w:p w:rsidR="008E2D9F" w:rsidRDefault="008E2D9F" w:rsidP="001C5C96">
      <w:pPr>
        <w:pStyle w:val="Default"/>
        <w:spacing w:after="80"/>
        <w:jc w:val="both"/>
        <w:rPr>
          <w:rFonts w:ascii="Times New Roman" w:hAnsi="Times New Roman" w:cs="Times New Roman"/>
          <w:lang w:val="en-GB"/>
        </w:rPr>
      </w:pPr>
    </w:p>
    <w:p w:rsidR="00E32B3D" w:rsidRPr="00887718" w:rsidRDefault="00E32B3D" w:rsidP="008D0746">
      <w:pPr>
        <w:pStyle w:val="NoSpacing"/>
      </w:pPr>
      <w:r w:rsidRPr="00887718">
        <w:t>Samples 3 through 7 are indistinguishable as they all yield positive signals for both events, even though sample 4 contains no stacked seeds, samples 5</w:t>
      </w:r>
      <w:r w:rsidR="008E2D9F">
        <w:t xml:space="preserve"> through </w:t>
      </w:r>
      <w:r w:rsidRPr="00887718">
        <w:t xml:space="preserve">7 contain a mixture of stacked and </w:t>
      </w:r>
      <w:r w:rsidR="007A077E" w:rsidRPr="00887718">
        <w:t xml:space="preserve">individual </w:t>
      </w:r>
      <w:r w:rsidRPr="00887718">
        <w:t xml:space="preserve">events, and sample 3 contains only the stack.  In this case, the only conclusions possible are </w:t>
      </w:r>
      <w:r w:rsidR="007A077E" w:rsidRPr="00887718">
        <w:t xml:space="preserve">the </w:t>
      </w:r>
      <w:r w:rsidRPr="00887718">
        <w:t>presence of event 1 in sample 1, of event 2 in sample 2 and of both events in samples 3</w:t>
      </w:r>
      <w:r w:rsidR="0076718E">
        <w:t xml:space="preserve"> through </w:t>
      </w:r>
      <w:r w:rsidRPr="00887718">
        <w:t>7</w:t>
      </w:r>
      <w:r w:rsidR="000930BC" w:rsidRPr="00887718">
        <w:t xml:space="preserve">.  It is not possible to </w:t>
      </w:r>
      <w:r w:rsidR="007A077E" w:rsidRPr="00887718">
        <w:t>determine the source of the two events in samples 3</w:t>
      </w:r>
      <w:r w:rsidR="0076718E">
        <w:t xml:space="preserve"> through </w:t>
      </w:r>
      <w:r w:rsidR="007A077E" w:rsidRPr="00887718">
        <w:t>7</w:t>
      </w:r>
      <w:r w:rsidR="000930BC" w:rsidRPr="00887718">
        <w:t xml:space="preserve"> – that is, </w:t>
      </w:r>
      <w:r w:rsidR="00AD2FE1" w:rsidRPr="00887718">
        <w:t xml:space="preserve">whether the signal is </w:t>
      </w:r>
      <w:r w:rsidR="000930BC" w:rsidRPr="00887718">
        <w:t>from single or stacked events</w:t>
      </w:r>
      <w:r w:rsidR="007A077E" w:rsidRPr="00887718">
        <w:t>.</w:t>
      </w:r>
    </w:p>
    <w:p w:rsidR="00E32B3D" w:rsidRPr="00887718" w:rsidRDefault="00E32B3D">
      <w:pPr>
        <w:pStyle w:val="NoSpacing"/>
      </w:pPr>
      <w:r w:rsidRPr="00887718">
        <w:t xml:space="preserve">The question then arises as to whether stacks can be detected using real-time quantitative PCR.  Table 2 shows an example of the quantitative results that might be expected from the same </w:t>
      </w:r>
      <w:r w:rsidR="000930BC" w:rsidRPr="00887718">
        <w:t xml:space="preserve">types of </w:t>
      </w:r>
      <w:r w:rsidRPr="00887718">
        <w:t>samples as were examined in Table 1.</w:t>
      </w:r>
    </w:p>
    <w:p w:rsidR="00E32B3D" w:rsidRPr="00887718" w:rsidRDefault="00E32B3D" w:rsidP="001C5C96">
      <w:pPr>
        <w:pStyle w:val="Default"/>
        <w:jc w:val="both"/>
        <w:rPr>
          <w:rFonts w:ascii="Times New Roman" w:hAnsi="Times New Roman" w:cs="Times New Roman"/>
          <w:lang w:val="en-GB"/>
        </w:rPr>
      </w:pPr>
    </w:p>
    <w:p w:rsidR="00E32B3D" w:rsidRPr="00887718" w:rsidRDefault="00E32B3D">
      <w:pPr>
        <w:pStyle w:val="BodyText"/>
        <w:jc w:val="both"/>
        <w:rPr>
          <w:rFonts w:ascii="Times New Roman" w:hAnsi="Times New Roman"/>
          <w:color w:val="000000"/>
          <w:lang w:val="en-GB"/>
        </w:rPr>
      </w:pPr>
      <w:r w:rsidRPr="001C5C96">
        <w:rPr>
          <w:rFonts w:ascii="Times New Roman" w:hAnsi="Times New Roman"/>
          <w:b/>
          <w:bCs/>
          <w:color w:val="000000"/>
          <w:lang w:val="en-GB"/>
        </w:rPr>
        <w:t>Table 2</w:t>
      </w:r>
      <w:r w:rsidRPr="00887718">
        <w:rPr>
          <w:rFonts w:ascii="Times New Roman" w:hAnsi="Times New Roman"/>
          <w:color w:val="000000"/>
          <w:lang w:val="en-GB"/>
        </w:rPr>
        <w:t>: Expected results of quantitative</w:t>
      </w:r>
      <w:r w:rsidR="00180B7F">
        <w:rPr>
          <w:rFonts w:ascii="Times New Roman" w:hAnsi="Times New Roman"/>
          <w:color w:val="000000"/>
          <w:lang w:val="en-GB"/>
        </w:rPr>
        <w:t>,</w:t>
      </w:r>
      <w:r w:rsidRPr="00887718">
        <w:rPr>
          <w:rFonts w:ascii="Times New Roman" w:hAnsi="Times New Roman"/>
          <w:color w:val="000000"/>
          <w:lang w:val="en-GB"/>
        </w:rPr>
        <w:t xml:space="preserve"> event-specific PCR tests on </w:t>
      </w:r>
      <w:r w:rsidR="008A7F36">
        <w:rPr>
          <w:rFonts w:ascii="Times New Roman" w:hAnsi="Times New Roman"/>
          <w:color w:val="000000"/>
          <w:lang w:val="en-GB"/>
        </w:rPr>
        <w:t>individual</w:t>
      </w:r>
      <w:r w:rsidR="008A7F36" w:rsidRPr="00887718">
        <w:rPr>
          <w:rFonts w:ascii="Times New Roman" w:hAnsi="Times New Roman"/>
          <w:color w:val="000000"/>
          <w:lang w:val="en-GB"/>
        </w:rPr>
        <w:t xml:space="preserve"> </w:t>
      </w:r>
      <w:r w:rsidR="00B258E3">
        <w:rPr>
          <w:rFonts w:ascii="Times New Roman" w:hAnsi="Times New Roman"/>
          <w:color w:val="000000"/>
          <w:lang w:val="en-GB"/>
        </w:rPr>
        <w:t>1000</w:t>
      </w:r>
      <w:r w:rsidR="00EB6725">
        <w:rPr>
          <w:rFonts w:ascii="Times New Roman" w:hAnsi="Times New Roman"/>
          <w:color w:val="000000"/>
          <w:lang w:val="en-GB"/>
        </w:rPr>
        <w:t>-</w:t>
      </w:r>
      <w:r w:rsidR="00B258E3">
        <w:rPr>
          <w:rFonts w:ascii="Times New Roman" w:hAnsi="Times New Roman"/>
          <w:color w:val="000000"/>
          <w:lang w:val="en-GB"/>
        </w:rPr>
        <w:t xml:space="preserve">seed/grain </w:t>
      </w:r>
      <w:r w:rsidRPr="00887718">
        <w:rPr>
          <w:rFonts w:ascii="Times New Roman" w:hAnsi="Times New Roman"/>
          <w:color w:val="000000"/>
          <w:lang w:val="en-GB"/>
        </w:rPr>
        <w:t>sample</w:t>
      </w:r>
      <w:r w:rsidR="008A7F36">
        <w:rPr>
          <w:rFonts w:ascii="Times New Roman" w:hAnsi="Times New Roman"/>
          <w:color w:val="000000"/>
          <w:lang w:val="en-GB"/>
        </w:rPr>
        <w:t>s</w:t>
      </w:r>
      <w:r w:rsidRPr="00887718">
        <w:rPr>
          <w:rFonts w:ascii="Times New Roman" w:hAnsi="Times New Roman"/>
          <w:color w:val="000000"/>
          <w:lang w:val="en-GB"/>
        </w:rPr>
        <w:t xml:space="preserve"> containing single and stacked events.</w:t>
      </w:r>
    </w:p>
    <w:tbl>
      <w:tblPr>
        <w:tblpPr w:leftFromText="180" w:rightFromText="180" w:vertAnchor="text" w:horzAnchor="margin" w:tblpXSpec="center" w:tblpY="178"/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"/>
        <w:gridCol w:w="900"/>
        <w:gridCol w:w="900"/>
        <w:gridCol w:w="1170"/>
        <w:gridCol w:w="1242"/>
        <w:gridCol w:w="1800"/>
        <w:gridCol w:w="1800"/>
      </w:tblGrid>
      <w:tr w:rsidR="007B3FC3" w:rsidRPr="00FE7301" w:rsidTr="001C5C96">
        <w:tc>
          <w:tcPr>
            <w:tcW w:w="918" w:type="dxa"/>
            <w:shd w:val="clear" w:color="auto" w:fill="auto"/>
            <w:vAlign w:val="center"/>
          </w:tcPr>
          <w:p w:rsidR="00E32B3D" w:rsidRPr="00FE7301" w:rsidRDefault="00E32B3D" w:rsidP="008E2D9F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Sample #</w:t>
            </w:r>
          </w:p>
        </w:tc>
        <w:tc>
          <w:tcPr>
            <w:tcW w:w="4212" w:type="dxa"/>
            <w:gridSpan w:val="4"/>
            <w:shd w:val="clear" w:color="auto" w:fill="auto"/>
            <w:vAlign w:val="center"/>
          </w:tcPr>
          <w:p w:rsidR="00E32B3D" w:rsidRPr="00FE7301" w:rsidRDefault="00E32B3D" w:rsidP="008E2D9F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Number of each type of seed in the sample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E32B3D" w:rsidRPr="00FE7301" w:rsidRDefault="00E32B3D" w:rsidP="008E2D9F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Event 1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32B3D" w:rsidRPr="00FE7301" w:rsidRDefault="00E32B3D" w:rsidP="008E2D9F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Event 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E32B3D" w:rsidRPr="00FE7301" w:rsidRDefault="00E32B3D" w:rsidP="008E2D9F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Event</w:t>
            </w:r>
            <w:r w:rsidR="007B3FC3">
              <w:rPr>
                <w:rFonts w:ascii="Century" w:hAnsi="Century"/>
                <w:sz w:val="20"/>
                <w:szCs w:val="20"/>
                <w:lang w:val="en-GB"/>
              </w:rPr>
              <w:t xml:space="preserve"> </w:t>
            </w: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  <w:p w:rsidR="00E32B3D" w:rsidRPr="00FE7301" w:rsidRDefault="00E32B3D" w:rsidP="008E2D9F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+ Event</w:t>
            </w:r>
            <w:r w:rsidR="007B3FC3">
              <w:rPr>
                <w:rFonts w:ascii="Century" w:hAnsi="Century"/>
                <w:sz w:val="20"/>
                <w:szCs w:val="20"/>
                <w:lang w:val="en-GB"/>
              </w:rPr>
              <w:t xml:space="preserve"> </w:t>
            </w: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 stack</w:t>
            </w:r>
          </w:p>
        </w:tc>
        <w:tc>
          <w:tcPr>
            <w:tcW w:w="1242" w:type="dxa"/>
            <w:shd w:val="clear" w:color="auto" w:fill="auto"/>
            <w:vAlign w:val="center"/>
          </w:tcPr>
          <w:p w:rsidR="00E32B3D" w:rsidRPr="00FE7301" w:rsidRDefault="00E32B3D" w:rsidP="00866404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Non-transgenic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B3D" w:rsidRPr="00FE7301" w:rsidRDefault="00E32B3D" w:rsidP="001C5C96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Theoretical Result PCR1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E32B3D" w:rsidRPr="00FE7301" w:rsidRDefault="00E32B3D" w:rsidP="001C5C96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Theoretical Result PCR2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998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(~0.2%)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Negative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998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Negative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(~0.2%)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998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(~0.2%)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keepNext/>
              <w:keepLines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(~0.2%)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996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(~0.2%)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(~0.2%)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996</w:t>
            </w:r>
          </w:p>
        </w:tc>
        <w:tc>
          <w:tcPr>
            <w:tcW w:w="180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Century" w:hAnsi="Century"/>
                <w:color w:val="auto"/>
                <w:sz w:val="20"/>
                <w:szCs w:val="20"/>
                <w:lang w:val="en-GB"/>
              </w:rPr>
            </w:pPr>
            <w:r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Positive (~0.</w:t>
            </w:r>
            <w:r w:rsidR="00161804"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2</w:t>
            </w:r>
            <w:r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%)</w:t>
            </w:r>
          </w:p>
        </w:tc>
        <w:tc>
          <w:tcPr>
            <w:tcW w:w="180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Century" w:hAnsi="Century"/>
                <w:color w:val="auto"/>
                <w:sz w:val="20"/>
                <w:szCs w:val="20"/>
                <w:lang w:val="en-GB"/>
              </w:rPr>
            </w:pPr>
            <w:r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Positive (~0.3%)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996</w:t>
            </w:r>
          </w:p>
        </w:tc>
        <w:tc>
          <w:tcPr>
            <w:tcW w:w="1800" w:type="dxa"/>
            <w:shd w:val="clear" w:color="auto" w:fill="auto"/>
          </w:tcPr>
          <w:p w:rsidR="00E32B3D" w:rsidRPr="001C5C96" w:rsidRDefault="00E32B3D" w:rsidP="00FE7301">
            <w:pPr>
              <w:pStyle w:val="Default"/>
              <w:jc w:val="center"/>
              <w:rPr>
                <w:rFonts w:ascii="Century" w:hAnsi="Century"/>
                <w:color w:val="auto"/>
                <w:sz w:val="20"/>
                <w:szCs w:val="20"/>
                <w:lang w:val="en-GB"/>
              </w:rPr>
            </w:pPr>
            <w:r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Positive (~0.3%)</w:t>
            </w:r>
          </w:p>
        </w:tc>
        <w:tc>
          <w:tcPr>
            <w:tcW w:w="1800" w:type="dxa"/>
            <w:shd w:val="clear" w:color="auto" w:fill="auto"/>
          </w:tcPr>
          <w:p w:rsidR="00E32B3D" w:rsidRPr="001C5C96" w:rsidRDefault="00161804" w:rsidP="00FE7301">
            <w:pPr>
              <w:pStyle w:val="Default"/>
              <w:jc w:val="center"/>
              <w:rPr>
                <w:rFonts w:ascii="Century" w:hAnsi="Century"/>
                <w:color w:val="auto"/>
                <w:sz w:val="20"/>
                <w:szCs w:val="20"/>
                <w:lang w:val="en-GB"/>
              </w:rPr>
            </w:pPr>
            <w:r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Positive (~0.2</w:t>
            </w:r>
            <w:r w:rsidR="00E32B3D"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%)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7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996</w:t>
            </w:r>
          </w:p>
        </w:tc>
        <w:tc>
          <w:tcPr>
            <w:tcW w:w="1800" w:type="dxa"/>
            <w:shd w:val="clear" w:color="auto" w:fill="auto"/>
          </w:tcPr>
          <w:p w:rsidR="00E32B3D" w:rsidRPr="001C5C96" w:rsidRDefault="00161804" w:rsidP="00FE7301">
            <w:pPr>
              <w:pStyle w:val="Default"/>
              <w:jc w:val="center"/>
              <w:rPr>
                <w:rFonts w:ascii="Century" w:hAnsi="Century"/>
                <w:color w:val="auto"/>
                <w:sz w:val="20"/>
                <w:szCs w:val="20"/>
                <w:lang w:val="en-GB"/>
              </w:rPr>
            </w:pPr>
            <w:r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Positive (~0.3</w:t>
            </w:r>
            <w:r w:rsidR="00E32B3D"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%)</w:t>
            </w:r>
          </w:p>
        </w:tc>
        <w:tc>
          <w:tcPr>
            <w:tcW w:w="1800" w:type="dxa"/>
            <w:shd w:val="clear" w:color="auto" w:fill="auto"/>
          </w:tcPr>
          <w:p w:rsidR="00E32B3D" w:rsidRPr="001C5C96" w:rsidRDefault="00161804" w:rsidP="00FE7301">
            <w:pPr>
              <w:pStyle w:val="Default"/>
              <w:jc w:val="center"/>
              <w:rPr>
                <w:rFonts w:ascii="Century" w:hAnsi="Century"/>
                <w:color w:val="auto"/>
                <w:sz w:val="20"/>
                <w:szCs w:val="20"/>
                <w:lang w:val="en-GB"/>
              </w:rPr>
            </w:pPr>
            <w:r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Positive (~0.3</w:t>
            </w:r>
            <w:r w:rsidR="00E32B3D" w:rsidRPr="001C5C96">
              <w:rPr>
                <w:rFonts w:ascii="Century" w:hAnsi="Century"/>
                <w:color w:val="auto"/>
                <w:sz w:val="20"/>
                <w:szCs w:val="20"/>
                <w:lang w:val="en-GB"/>
              </w:rPr>
              <w:t>%)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8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3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995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(~0.2%)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(~0.3%)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3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0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995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(~0.3%)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(~0.2%)</w:t>
            </w:r>
          </w:p>
        </w:tc>
      </w:tr>
      <w:tr w:rsidR="007B3FC3" w:rsidRPr="00FE7301" w:rsidTr="001C5C96">
        <w:tc>
          <w:tcPr>
            <w:tcW w:w="918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10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2</w:t>
            </w:r>
          </w:p>
        </w:tc>
        <w:tc>
          <w:tcPr>
            <w:tcW w:w="117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1</w:t>
            </w:r>
          </w:p>
        </w:tc>
        <w:tc>
          <w:tcPr>
            <w:tcW w:w="1242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995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(~0.3%)</w:t>
            </w:r>
          </w:p>
        </w:tc>
        <w:tc>
          <w:tcPr>
            <w:tcW w:w="1800" w:type="dxa"/>
            <w:shd w:val="clear" w:color="auto" w:fill="auto"/>
          </w:tcPr>
          <w:p w:rsidR="00E32B3D" w:rsidRPr="00FE7301" w:rsidRDefault="00E32B3D" w:rsidP="00FE7301">
            <w:pPr>
              <w:pStyle w:val="Default"/>
              <w:jc w:val="center"/>
              <w:rPr>
                <w:rFonts w:ascii="Century" w:hAnsi="Century"/>
                <w:sz w:val="20"/>
                <w:szCs w:val="20"/>
                <w:lang w:val="en-GB"/>
              </w:rPr>
            </w:pPr>
            <w:r w:rsidRPr="00FE7301">
              <w:rPr>
                <w:rFonts w:ascii="Century" w:hAnsi="Century"/>
                <w:sz w:val="20"/>
                <w:szCs w:val="20"/>
                <w:lang w:val="en-GB"/>
              </w:rPr>
              <w:t>Positive (~0.3%)</w:t>
            </w:r>
          </w:p>
        </w:tc>
      </w:tr>
    </w:tbl>
    <w:p w:rsidR="00E32B3D" w:rsidRPr="00887718" w:rsidRDefault="00E32B3D">
      <w:pPr>
        <w:pStyle w:val="Default"/>
        <w:rPr>
          <w:lang w:val="en-GB"/>
        </w:rPr>
      </w:pPr>
    </w:p>
    <w:p w:rsidR="00E32B3D" w:rsidRPr="00887718" w:rsidRDefault="00E32B3D" w:rsidP="008D0746">
      <w:pPr>
        <w:pStyle w:val="NoSpacing"/>
      </w:pPr>
      <w:r w:rsidRPr="00887718">
        <w:t>The first observation is that samples 3 and 4 give exactly the same results</w:t>
      </w:r>
      <w:r w:rsidR="0076718E">
        <w:t xml:space="preserve">; the stack sample is not distinguishable from the </w:t>
      </w:r>
      <w:r w:rsidR="00866404">
        <w:t xml:space="preserve">single-event </w:t>
      </w:r>
      <w:r w:rsidR="0076718E">
        <w:t>seed mixture</w:t>
      </w:r>
      <w:r w:rsidRPr="00887718">
        <w:t>.  In samples 5</w:t>
      </w:r>
      <w:r w:rsidR="0076718E">
        <w:t xml:space="preserve"> </w:t>
      </w:r>
      <w:r w:rsidR="00577982">
        <w:t xml:space="preserve">and </w:t>
      </w:r>
      <w:r w:rsidR="0076718E">
        <w:t>6</w:t>
      </w:r>
      <w:r w:rsidRPr="00887718">
        <w:t xml:space="preserve">, there appear to be small differences that might be interpreted as a combination of </w:t>
      </w:r>
      <w:r w:rsidR="00866404">
        <w:t xml:space="preserve">single-event </w:t>
      </w:r>
      <w:r w:rsidRPr="00887718">
        <w:t xml:space="preserve">seed mixtures and stacked events.  However, there are other mixtures which can give the same results without stacks being present </w:t>
      </w:r>
      <w:r w:rsidR="0076718E">
        <w:t>(samples 8 and 9). In addition, samples</w:t>
      </w:r>
      <w:r w:rsidRPr="00887718">
        <w:t xml:space="preserve"> with a different proportion of stacks present in the sample</w:t>
      </w:r>
      <w:r w:rsidR="0076718E">
        <w:t xml:space="preserve"> can give the same result (samples 7 and 10)</w:t>
      </w:r>
      <w:r w:rsidRPr="00887718">
        <w:t>.  Moreover, because of sampling and measurement uncertainty, quantitative PCR is not accurate enough to distinguish between, for example</w:t>
      </w:r>
      <w:r w:rsidR="007A077E" w:rsidRPr="00887718">
        <w:t>,</w:t>
      </w:r>
      <w:r w:rsidRPr="00887718">
        <w:t xml:space="preserve"> 0.2% and 0.3% of an event in a sample.</w:t>
      </w:r>
    </w:p>
    <w:p w:rsidR="00E32B3D" w:rsidRPr="00887718" w:rsidRDefault="00E32B3D">
      <w:pPr>
        <w:pStyle w:val="BodyText"/>
        <w:jc w:val="both"/>
        <w:rPr>
          <w:rFonts w:ascii="Times New Roman" w:hAnsi="Times New Roman"/>
          <w:color w:val="000000"/>
          <w:lang w:val="en-GB"/>
        </w:rPr>
      </w:pPr>
    </w:p>
    <w:p w:rsidR="00E32B3D" w:rsidRPr="00887718" w:rsidRDefault="0052286E" w:rsidP="00C00E2B">
      <w:pPr>
        <w:pStyle w:val="BodyText"/>
        <w:keepNext/>
        <w:jc w:val="both"/>
        <w:rPr>
          <w:rFonts w:ascii="Times New Roman" w:hAnsi="Times New Roman"/>
          <w:color w:val="000000"/>
          <w:u w:val="single"/>
          <w:lang w:val="en-GB"/>
        </w:rPr>
      </w:pPr>
      <w:r>
        <w:rPr>
          <w:rFonts w:ascii="Times New Roman" w:hAnsi="Times New Roman"/>
          <w:color w:val="000000"/>
          <w:u w:val="single"/>
          <w:lang w:val="en-GB"/>
        </w:rPr>
        <w:t>Statistical</w:t>
      </w:r>
      <w:r w:rsidRPr="00887718">
        <w:rPr>
          <w:rFonts w:ascii="Times New Roman" w:hAnsi="Times New Roman"/>
          <w:color w:val="000000"/>
          <w:u w:val="single"/>
          <w:lang w:val="en-GB"/>
        </w:rPr>
        <w:t xml:space="preserve"> </w:t>
      </w:r>
      <w:r w:rsidR="00E32B3D" w:rsidRPr="00887718">
        <w:rPr>
          <w:rFonts w:ascii="Times New Roman" w:hAnsi="Times New Roman"/>
          <w:color w:val="000000"/>
          <w:u w:val="single"/>
          <w:lang w:val="en-GB"/>
        </w:rPr>
        <w:t>approaches</w:t>
      </w:r>
    </w:p>
    <w:p w:rsidR="00056439" w:rsidRDefault="00E32B3D" w:rsidP="008D0746">
      <w:pPr>
        <w:pStyle w:val="NoSpacing"/>
      </w:pPr>
      <w:r w:rsidRPr="00887718">
        <w:t>To date</w:t>
      </w:r>
      <w:r w:rsidR="00180B7F">
        <w:t>,</w:t>
      </w:r>
      <w:r w:rsidRPr="00887718">
        <w:t xml:space="preserve"> there is no PCR or other molecular approach that can distinguish</w:t>
      </w:r>
      <w:r w:rsidR="00C72299">
        <w:t>, without statistical analysis,</w:t>
      </w:r>
      <w:r w:rsidRPr="00887718">
        <w:t xml:space="preserve"> between the presence of stacked events in a bulk sample, and the presence of a </w:t>
      </w:r>
      <w:r w:rsidR="0076718E">
        <w:t xml:space="preserve">seed </w:t>
      </w:r>
      <w:r w:rsidRPr="00887718">
        <w:t xml:space="preserve">mixture of the two or more </w:t>
      </w:r>
      <w:r w:rsidR="007A077E" w:rsidRPr="00887718">
        <w:t xml:space="preserve">individual </w:t>
      </w:r>
      <w:r w:rsidRPr="00887718">
        <w:t>events that comprise the stack.</w:t>
      </w:r>
    </w:p>
    <w:p w:rsidR="0052286E" w:rsidRDefault="00E32B3D">
      <w:pPr>
        <w:pStyle w:val="NoSpacing"/>
      </w:pPr>
      <w:r w:rsidRPr="00887718">
        <w:lastRenderedPageBreak/>
        <w:t>The International Seed Testing Association (ISTA) has proposed a statistical approach (implemented in Seedcalc</w:t>
      </w:r>
      <w:r w:rsidR="0076718E">
        <w:t>Stack</w:t>
      </w:r>
      <w:r w:rsidRPr="00887718">
        <w:t>9</w:t>
      </w:r>
      <w:r w:rsidR="004C39F0">
        <w:t>,</w:t>
      </w:r>
      <w:r w:rsidR="00DA2405">
        <w:t xml:space="preserve"> www.seedtest.org</w:t>
      </w:r>
      <w:r w:rsidRPr="00887718">
        <w:t xml:space="preserve">) to quantify </w:t>
      </w:r>
      <w:r w:rsidR="0076718E">
        <w:t xml:space="preserve">up to three events in </w:t>
      </w:r>
      <w:r w:rsidRPr="00887718">
        <w:t>seeds in a conventional seed lot</w:t>
      </w:r>
      <w:r w:rsidR="00611300">
        <w:t xml:space="preserve"> and give an estimate of what percentage of the seeds comprise stacked events</w:t>
      </w:r>
      <w:r w:rsidRPr="00887718">
        <w:t>.  The approach is a po</w:t>
      </w:r>
      <w:r w:rsidR="007A077E" w:rsidRPr="00887718">
        <w:t>o</w:t>
      </w:r>
      <w:r w:rsidRPr="00887718">
        <w:t>led</w:t>
      </w:r>
      <w:r w:rsidR="0076718E">
        <w:t>-seed</w:t>
      </w:r>
      <w:r w:rsidRPr="00887718">
        <w:t xml:space="preserve"> testing approach and involves the examination of </w:t>
      </w:r>
      <w:r w:rsidR="0076718E">
        <w:t>a recommended minimum of 20 to 30</w:t>
      </w:r>
      <w:r w:rsidRPr="00887718">
        <w:t xml:space="preserve"> </w:t>
      </w:r>
      <w:r w:rsidR="00C00E2B">
        <w:t xml:space="preserve">small </w:t>
      </w:r>
      <w:r w:rsidRPr="00887718">
        <w:t>pools</w:t>
      </w:r>
      <w:r w:rsidR="0052286E">
        <w:t xml:space="preserve">.  </w:t>
      </w:r>
    </w:p>
    <w:p w:rsidR="00E32B3D" w:rsidRPr="0052286E" w:rsidRDefault="0052286E">
      <w:pPr>
        <w:pStyle w:val="NoSpacing"/>
      </w:pPr>
      <w:r>
        <w:t xml:space="preserve">Akiyama (2005) proposed the analysis of individual grains of maize </w:t>
      </w:r>
      <w:r w:rsidRPr="0052286E">
        <w:t>as a means of determining whether stacks were present in grain samples.</w:t>
      </w:r>
      <w:r>
        <w:t xml:space="preserve">  In addition, Mano et al. </w:t>
      </w:r>
      <w:r w:rsidR="0050443F">
        <w:t xml:space="preserve">published a paper </w:t>
      </w:r>
      <w:r w:rsidR="00C00E2B">
        <w:t xml:space="preserve">describing a </w:t>
      </w:r>
      <w:r w:rsidR="00423F09">
        <w:t>t</w:t>
      </w:r>
      <w:r w:rsidR="00423F09" w:rsidRPr="0052286E">
        <w:t xml:space="preserve">esting </w:t>
      </w:r>
      <w:r w:rsidR="00423F09">
        <w:t>m</w:t>
      </w:r>
      <w:r w:rsidR="00423F09" w:rsidRPr="0052286E">
        <w:t xml:space="preserve">ethod </w:t>
      </w:r>
      <w:r w:rsidR="00C72BA5">
        <w:t xml:space="preserve">that relies on testing multiple sub-samples </w:t>
      </w:r>
      <w:r w:rsidRPr="0052286E">
        <w:t xml:space="preserve">to </w:t>
      </w:r>
      <w:r w:rsidR="00423F09">
        <w:t>e</w:t>
      </w:r>
      <w:r w:rsidR="00423F09" w:rsidRPr="0052286E">
        <w:t xml:space="preserve">valuate </w:t>
      </w:r>
      <w:r w:rsidR="00423F09">
        <w:t>w</w:t>
      </w:r>
      <w:r w:rsidR="00423F09" w:rsidRPr="00611300">
        <w:t>eight</w:t>
      </w:r>
      <w:r w:rsidR="00611300" w:rsidRPr="00611300">
        <w:t>/</w:t>
      </w:r>
      <w:r w:rsidR="00423F09">
        <w:t>w</w:t>
      </w:r>
      <w:r w:rsidR="00423F09" w:rsidRPr="00611300">
        <w:t xml:space="preserve">eight </w:t>
      </w:r>
      <w:r w:rsidR="00611300" w:rsidRPr="00611300">
        <w:t xml:space="preserve">GMO </w:t>
      </w:r>
      <w:r w:rsidR="00423F09">
        <w:t>c</w:t>
      </w:r>
      <w:r w:rsidR="00423F09" w:rsidRPr="00611300">
        <w:t xml:space="preserve">ontent </w:t>
      </w:r>
      <w:r w:rsidR="00611300" w:rsidRPr="00611300">
        <w:t xml:space="preserve">in </w:t>
      </w:r>
      <w:r w:rsidR="00423F09">
        <w:t>m</w:t>
      </w:r>
      <w:r w:rsidR="00423F09" w:rsidRPr="00611300">
        <w:t xml:space="preserve">aize </w:t>
      </w:r>
      <w:r w:rsidR="00423F09">
        <w:t>g</w:t>
      </w:r>
      <w:r w:rsidR="00423F09" w:rsidRPr="00611300">
        <w:t>rains</w:t>
      </w:r>
      <w:r w:rsidR="00423F09">
        <w:t xml:space="preserve">. </w:t>
      </w:r>
      <w:r w:rsidRPr="0052286E">
        <w:t xml:space="preserve">These </w:t>
      </w:r>
      <w:r>
        <w:t>approach</w:t>
      </w:r>
      <w:r w:rsidRPr="0052286E">
        <w:t xml:space="preserve">es are </w:t>
      </w:r>
      <w:r>
        <w:t xml:space="preserve">only feasible where the concentration of stacks in the grain </w:t>
      </w:r>
      <w:r w:rsidR="00BE6E9E">
        <w:t xml:space="preserve">sample </w:t>
      </w:r>
      <w:r>
        <w:t>is significant (e.g.</w:t>
      </w:r>
      <w:r w:rsidR="00180B7F">
        <w:t>,</w:t>
      </w:r>
      <w:r>
        <w:t xml:space="preserve"> in a situation where the concentration is approaching 5%).</w:t>
      </w:r>
    </w:p>
    <w:p w:rsidR="00B70C65" w:rsidRPr="00E136B0" w:rsidRDefault="00B70C65" w:rsidP="00E136B0">
      <w:pPr>
        <w:pStyle w:val="Default"/>
        <w:rPr>
          <w:rFonts w:ascii="Times New Roman" w:hAnsi="Times New Roman"/>
          <w:lang w:val="en-GB"/>
        </w:rPr>
      </w:pPr>
    </w:p>
    <w:p w:rsidR="00E32B3D" w:rsidRPr="00887718" w:rsidRDefault="00E32B3D">
      <w:pPr>
        <w:pStyle w:val="BodyText"/>
        <w:jc w:val="both"/>
        <w:rPr>
          <w:rFonts w:ascii="Times New Roman" w:hAnsi="Times New Roman"/>
          <w:color w:val="000000"/>
          <w:u w:val="single"/>
          <w:lang w:val="en-GB"/>
        </w:rPr>
      </w:pPr>
      <w:r w:rsidRPr="00887718">
        <w:rPr>
          <w:rFonts w:ascii="Times New Roman" w:hAnsi="Times New Roman"/>
          <w:color w:val="000000"/>
          <w:u w:val="single"/>
          <w:lang w:val="en-GB"/>
        </w:rPr>
        <w:t>Conclusions</w:t>
      </w:r>
    </w:p>
    <w:p w:rsidR="008D0746" w:rsidRDefault="00415ABF">
      <w:pPr>
        <w:pStyle w:val="NoSpacing"/>
      </w:pPr>
      <w:r>
        <w:t>Currently, t</w:t>
      </w:r>
      <w:r w:rsidR="00423F09" w:rsidRPr="00423F09">
        <w:t xml:space="preserve">here </w:t>
      </w:r>
      <w:r w:rsidR="00C04F82" w:rsidRPr="00423F09">
        <w:t xml:space="preserve">are </w:t>
      </w:r>
      <w:r w:rsidR="00C04F82">
        <w:t>no</w:t>
      </w:r>
      <w:r w:rsidR="00423F09" w:rsidRPr="00423F09">
        <w:t xml:space="preserve"> molecular methods that </w:t>
      </w:r>
      <w:r>
        <w:t xml:space="preserve">are or </w:t>
      </w:r>
      <w:r w:rsidR="00C00E2B">
        <w:t xml:space="preserve">can </w:t>
      </w:r>
      <w:r w:rsidR="00423F09" w:rsidRPr="00423F09">
        <w:t>be developed for the detection and identification of stacks</w:t>
      </w:r>
      <w:r>
        <w:t>,</w:t>
      </w:r>
      <w:r w:rsidR="009B782F">
        <w:t xml:space="preserve"> </w:t>
      </w:r>
      <w:r w:rsidR="00C72BA5">
        <w:t>whether originating via intentional or adventitious crossing</w:t>
      </w:r>
      <w:r w:rsidR="008D0746">
        <w:t>, and no method</w:t>
      </w:r>
      <w:r>
        <w:t>s</w:t>
      </w:r>
      <w:r w:rsidR="008D0746">
        <w:t xml:space="preserve"> to determine whether a bulk seed lot </w:t>
      </w:r>
      <w:r w:rsidR="00C04F82">
        <w:t>contains</w:t>
      </w:r>
      <w:r w:rsidR="00C04F82" w:rsidRPr="008D0746">
        <w:t xml:space="preserve"> </w:t>
      </w:r>
      <w:r w:rsidR="00C04F82">
        <w:t>a</w:t>
      </w:r>
      <w:r>
        <w:t xml:space="preserve"> low level</w:t>
      </w:r>
      <w:r w:rsidR="008D0746">
        <w:t xml:space="preserve"> mixture of single events </w:t>
      </w:r>
      <w:r w:rsidR="00C04F82">
        <w:t>or stacked</w:t>
      </w:r>
      <w:r w:rsidR="008D0746">
        <w:t xml:space="preserve"> events. </w:t>
      </w:r>
    </w:p>
    <w:p w:rsidR="00E32B3D" w:rsidRPr="00887718" w:rsidRDefault="00423F09">
      <w:pPr>
        <w:pStyle w:val="NoSpacing"/>
      </w:pPr>
      <w:r w:rsidRPr="00423F09">
        <w:t xml:space="preserve">PCR methods developed for the single events are the methods of choice for </w:t>
      </w:r>
      <w:r w:rsidR="00C00E2B">
        <w:t>GM detection</w:t>
      </w:r>
      <w:r w:rsidRPr="00423F09">
        <w:t>.</w:t>
      </w:r>
      <w:r w:rsidR="00C00E2B">
        <w:t xml:space="preserve"> </w:t>
      </w:r>
      <w:r w:rsidRPr="00423F09">
        <w:t xml:space="preserve"> However, </w:t>
      </w:r>
      <w:r>
        <w:t>d</w:t>
      </w:r>
      <w:r w:rsidRPr="00887718">
        <w:t xml:space="preserve">ue </w:t>
      </w:r>
      <w:r w:rsidR="00E32B3D" w:rsidRPr="00887718">
        <w:t>to the nature of stacks where two o</w:t>
      </w:r>
      <w:r w:rsidR="007A077E" w:rsidRPr="00887718">
        <w:t>r</w:t>
      </w:r>
      <w:r w:rsidR="00E32B3D" w:rsidRPr="00887718">
        <w:t xml:space="preserve"> more events are </w:t>
      </w:r>
      <w:r w:rsidR="00C04F82">
        <w:t>present,</w:t>
      </w:r>
      <w:r w:rsidR="00E32B3D" w:rsidRPr="00887718">
        <w:t xml:space="preserve"> it is not possible to use PCR or any other molecular approach to determine the presence </w:t>
      </w:r>
      <w:r w:rsidR="00C04F82" w:rsidRPr="00887718">
        <w:t>of stacked</w:t>
      </w:r>
      <w:r w:rsidR="00E32B3D" w:rsidRPr="00887718">
        <w:t xml:space="preserve"> seed or grain </w:t>
      </w:r>
      <w:r w:rsidR="00C00E2B">
        <w:t xml:space="preserve">in a bulk seed sample </w:t>
      </w:r>
      <w:r w:rsidR="009209E1">
        <w:t>beyond</w:t>
      </w:r>
      <w:r w:rsidR="008E2DED">
        <w:t xml:space="preserve"> detecting</w:t>
      </w:r>
      <w:r w:rsidR="00E32B3D" w:rsidRPr="00887718">
        <w:t xml:space="preserve"> the presence of the two </w:t>
      </w:r>
      <w:r w:rsidR="00BE6E9E">
        <w:t xml:space="preserve">or more </w:t>
      </w:r>
      <w:r w:rsidR="00D068B5">
        <w:t xml:space="preserve">individual single </w:t>
      </w:r>
      <w:r w:rsidR="00E32B3D" w:rsidRPr="00887718">
        <w:t>events</w:t>
      </w:r>
      <w:r w:rsidR="00C00E2B">
        <w:t xml:space="preserve">.  </w:t>
      </w:r>
      <w:r w:rsidR="00E32B3D" w:rsidRPr="00887718">
        <w:t xml:space="preserve"> </w:t>
      </w:r>
      <w:r w:rsidR="00C00E2B">
        <w:t xml:space="preserve">The examination of </w:t>
      </w:r>
      <w:r w:rsidR="00E32B3D" w:rsidRPr="00887718">
        <w:t xml:space="preserve">single seeds/grains </w:t>
      </w:r>
      <w:r w:rsidR="009F3819">
        <w:t xml:space="preserve">or </w:t>
      </w:r>
      <w:r w:rsidR="00B70C65">
        <w:t xml:space="preserve">an approach where </w:t>
      </w:r>
      <w:r w:rsidR="009F3819">
        <w:t xml:space="preserve">the conditions of the ISTA statistical </w:t>
      </w:r>
      <w:r w:rsidR="00B70C65">
        <w:t xml:space="preserve">techniques </w:t>
      </w:r>
      <w:r w:rsidR="009F3819">
        <w:t>are met</w:t>
      </w:r>
      <w:r w:rsidR="00C00E2B">
        <w:t xml:space="preserve"> can be used to determine whether stacks are present</w:t>
      </w:r>
      <w:r w:rsidR="00E32B3D" w:rsidRPr="00887718">
        <w:t xml:space="preserve">.  Even when a stack of two or more events is present, it cannot be determined in grain </w:t>
      </w:r>
      <w:r w:rsidR="008A7F36">
        <w:t>whether</w:t>
      </w:r>
      <w:r w:rsidR="008A7F36" w:rsidRPr="00887718">
        <w:t xml:space="preserve"> </w:t>
      </w:r>
      <w:r w:rsidR="00E32B3D" w:rsidRPr="00887718">
        <w:t xml:space="preserve">this stack is an intentional combination, or one due to adventitious pollination in the field. </w:t>
      </w:r>
    </w:p>
    <w:p w:rsidR="00E32B3D" w:rsidRPr="00887718" w:rsidRDefault="00E32B3D">
      <w:pPr>
        <w:pStyle w:val="Default"/>
        <w:rPr>
          <w:lang w:val="en-GB"/>
        </w:rPr>
      </w:pPr>
    </w:p>
    <w:p w:rsidR="00E32B3D" w:rsidRPr="00887718" w:rsidRDefault="00E32B3D">
      <w:pPr>
        <w:pStyle w:val="BodyText"/>
        <w:keepNext/>
        <w:jc w:val="both"/>
        <w:rPr>
          <w:rFonts w:ascii="Times New Roman" w:hAnsi="Times New Roman"/>
          <w:color w:val="000000"/>
          <w:u w:val="single"/>
          <w:lang w:val="en-GB"/>
        </w:rPr>
      </w:pPr>
      <w:r w:rsidRPr="00887718">
        <w:rPr>
          <w:rFonts w:ascii="Times New Roman" w:hAnsi="Times New Roman"/>
          <w:color w:val="000000"/>
          <w:u w:val="single"/>
          <w:lang w:val="en-GB"/>
        </w:rPr>
        <w:t>Reference materials (RM):</w:t>
      </w:r>
    </w:p>
    <w:p w:rsidR="00E32B3D" w:rsidRPr="00887718" w:rsidRDefault="00E32B3D" w:rsidP="008D0746">
      <w:pPr>
        <w:pStyle w:val="NoSpacing"/>
      </w:pPr>
      <w:r w:rsidRPr="00887718">
        <w:t>Reference materials for commercialized events are available for the single events.  As stacked seeds and plants consist of combinations of these individual events, the single</w:t>
      </w:r>
      <w:r w:rsidR="009655A2">
        <w:t>-</w:t>
      </w:r>
      <w:r w:rsidRPr="00887718">
        <w:t xml:space="preserve">event reference materials are suitable for calibration or validation of methods used </w:t>
      </w:r>
      <w:r w:rsidR="00C86DE1">
        <w:t>to analyse</w:t>
      </w:r>
      <w:r w:rsidR="00C86DE1" w:rsidRPr="00887718">
        <w:t xml:space="preserve"> </w:t>
      </w:r>
      <w:r w:rsidRPr="00887718">
        <w:t xml:space="preserve">the stacked </w:t>
      </w:r>
      <w:r w:rsidR="00577982" w:rsidRPr="00887718">
        <w:t>events.</w:t>
      </w:r>
    </w:p>
    <w:p w:rsidR="00E32B3D" w:rsidRDefault="00E32B3D">
      <w:pPr>
        <w:rPr>
          <w:lang w:val="en-GB"/>
        </w:rPr>
      </w:pPr>
    </w:p>
    <w:p w:rsidR="00611300" w:rsidRPr="00C00E2B" w:rsidRDefault="00611300" w:rsidP="00C00E2B">
      <w:pPr>
        <w:pStyle w:val="BodyText"/>
        <w:keepNext/>
        <w:jc w:val="both"/>
        <w:rPr>
          <w:rFonts w:ascii="Times New Roman" w:hAnsi="Times New Roman"/>
          <w:color w:val="000000"/>
          <w:u w:val="single"/>
          <w:lang w:val="en-GB"/>
        </w:rPr>
      </w:pPr>
      <w:r w:rsidRPr="00C00E2B">
        <w:rPr>
          <w:rFonts w:ascii="Times New Roman" w:hAnsi="Times New Roman"/>
          <w:color w:val="000000"/>
          <w:u w:val="single"/>
          <w:lang w:val="en-GB"/>
        </w:rPr>
        <w:t>Literature:</w:t>
      </w:r>
    </w:p>
    <w:p w:rsidR="003F2AF9" w:rsidRDefault="003F2AF9">
      <w:pPr>
        <w:rPr>
          <w:color w:val="000000"/>
        </w:rPr>
      </w:pPr>
      <w:r w:rsidRPr="003F2AF9">
        <w:rPr>
          <w:lang w:val="en-GB"/>
        </w:rPr>
        <w:t xml:space="preserve">Akiyama </w:t>
      </w:r>
      <w:proofErr w:type="gramStart"/>
      <w:r w:rsidRPr="003F2AF9">
        <w:rPr>
          <w:lang w:val="en-GB"/>
        </w:rPr>
        <w:t>et</w:t>
      </w:r>
      <w:proofErr w:type="gramEnd"/>
      <w:r w:rsidRPr="003F2AF9">
        <w:rPr>
          <w:lang w:val="en-GB"/>
        </w:rPr>
        <w:t xml:space="preserve">. </w:t>
      </w:r>
      <w:proofErr w:type="gramStart"/>
      <w:r>
        <w:rPr>
          <w:lang w:val="en-GB"/>
        </w:rPr>
        <w:t>a</w:t>
      </w:r>
      <w:r w:rsidRPr="003F2AF9">
        <w:rPr>
          <w:lang w:val="en-GB"/>
        </w:rPr>
        <w:t>l</w:t>
      </w:r>
      <w:proofErr w:type="gramEnd"/>
      <w:r w:rsidRPr="003F2AF9">
        <w:rPr>
          <w:lang w:val="en-GB"/>
        </w:rPr>
        <w:t xml:space="preserve">. </w:t>
      </w:r>
      <w:r>
        <w:rPr>
          <w:lang w:val="en-GB"/>
        </w:rPr>
        <w:t xml:space="preserve"> </w:t>
      </w:r>
      <w:r w:rsidRPr="003F2AF9">
        <w:rPr>
          <w:lang w:val="en-GB"/>
        </w:rPr>
        <w:t xml:space="preserve">2005. Quantitative Detection System for Maize Sample Containing Combined-Trait Genetically Modified Maize. </w:t>
      </w:r>
      <w:proofErr w:type="gramStart"/>
      <w:r w:rsidRPr="003F2AF9">
        <w:rPr>
          <w:lang w:val="en-GB"/>
        </w:rPr>
        <w:t>Anal.</w:t>
      </w:r>
      <w:proofErr w:type="gramEnd"/>
      <w:r w:rsidRPr="003F2AF9">
        <w:rPr>
          <w:lang w:val="en-GB"/>
        </w:rPr>
        <w:t xml:space="preserve"> </w:t>
      </w:r>
      <w:proofErr w:type="gramStart"/>
      <w:r w:rsidRPr="003F2AF9">
        <w:rPr>
          <w:lang w:val="en-GB"/>
        </w:rPr>
        <w:t xml:space="preserve">Chem., </w:t>
      </w:r>
      <w:r>
        <w:rPr>
          <w:lang w:val="en-GB"/>
        </w:rPr>
        <w:t>2005</w:t>
      </w:r>
      <w:r w:rsidRPr="003F2AF9">
        <w:rPr>
          <w:lang w:val="en-GB"/>
        </w:rPr>
        <w:t>, 77 (22), pp 7421–7428.</w:t>
      </w:r>
      <w:proofErr w:type="gramEnd"/>
      <w:r w:rsidRPr="003F2AF9">
        <w:rPr>
          <w:lang w:val="en-GB"/>
        </w:rPr>
        <w:t xml:space="preserve"> </w:t>
      </w:r>
      <w:r>
        <w:rPr>
          <w:lang w:val="en-GB"/>
        </w:rPr>
        <w:t xml:space="preserve"> </w:t>
      </w:r>
      <w:proofErr w:type="spellStart"/>
      <w:proofErr w:type="gramStart"/>
      <w:r w:rsidRPr="003F2AF9">
        <w:rPr>
          <w:rStyle w:val="Strong"/>
          <w:b w:val="0"/>
          <w:color w:val="000000"/>
        </w:rPr>
        <w:t>doi</w:t>
      </w:r>
      <w:proofErr w:type="spellEnd"/>
      <w:proofErr w:type="gramEnd"/>
      <w:r w:rsidRPr="003F2AF9">
        <w:rPr>
          <w:rStyle w:val="Strong"/>
          <w:b w:val="0"/>
          <w:color w:val="000000"/>
        </w:rPr>
        <w:t xml:space="preserve">: </w:t>
      </w:r>
      <w:r w:rsidRPr="003F2AF9">
        <w:rPr>
          <w:color w:val="000000"/>
        </w:rPr>
        <w:t>10.1021/ac051236u.</w:t>
      </w:r>
    </w:p>
    <w:p w:rsidR="003F2AF9" w:rsidRDefault="003F2AF9">
      <w:pPr>
        <w:rPr>
          <w:color w:val="000000"/>
        </w:rPr>
      </w:pPr>
    </w:p>
    <w:p w:rsidR="00611300" w:rsidRPr="003F2AF9" w:rsidRDefault="00611300">
      <w:pPr>
        <w:rPr>
          <w:lang w:val="en-GB"/>
        </w:rPr>
      </w:pPr>
      <w:r w:rsidRPr="003F2AF9">
        <w:rPr>
          <w:lang w:val="en-GB"/>
        </w:rPr>
        <w:t xml:space="preserve">Mano </w:t>
      </w:r>
      <w:proofErr w:type="gramStart"/>
      <w:r w:rsidRPr="003F2AF9">
        <w:rPr>
          <w:lang w:val="en-GB"/>
        </w:rPr>
        <w:t>et</w:t>
      </w:r>
      <w:proofErr w:type="gramEnd"/>
      <w:r w:rsidRPr="003F2AF9">
        <w:rPr>
          <w:lang w:val="en-GB"/>
        </w:rPr>
        <w:t xml:space="preserve">. </w:t>
      </w:r>
      <w:proofErr w:type="gramStart"/>
      <w:r w:rsidRPr="003F2AF9">
        <w:rPr>
          <w:lang w:val="en-GB"/>
        </w:rPr>
        <w:t>al</w:t>
      </w:r>
      <w:proofErr w:type="gramEnd"/>
      <w:r w:rsidRPr="003F2AF9">
        <w:rPr>
          <w:lang w:val="en-GB"/>
        </w:rPr>
        <w:t xml:space="preserve">. </w:t>
      </w:r>
      <w:r w:rsidR="00C04F82">
        <w:rPr>
          <w:lang w:val="en-GB"/>
        </w:rPr>
        <w:t xml:space="preserve"> </w:t>
      </w:r>
      <w:r w:rsidR="003F2AF9" w:rsidRPr="003F2AF9">
        <w:rPr>
          <w:lang w:val="en-GB"/>
        </w:rPr>
        <w:t xml:space="preserve">2011. </w:t>
      </w:r>
      <w:r w:rsidRPr="003F2AF9">
        <w:t xml:space="preserve">Practicable Group Testing Method to Evaluate Weight/Weight GMO Content in Maize Grains </w:t>
      </w:r>
      <w:r w:rsidR="00423F09" w:rsidRPr="003F2AF9">
        <w:t xml:space="preserve">J </w:t>
      </w:r>
      <w:proofErr w:type="spellStart"/>
      <w:r w:rsidR="00423F09" w:rsidRPr="003F2AF9">
        <w:t>Agric</w:t>
      </w:r>
      <w:proofErr w:type="spellEnd"/>
      <w:r w:rsidR="00423F09" w:rsidRPr="003F2AF9">
        <w:t xml:space="preserve"> Food Chem. 2011</w:t>
      </w:r>
      <w:r w:rsidR="003F2AF9">
        <w:t xml:space="preserve">, </w:t>
      </w:r>
      <w:r w:rsidR="00423F09" w:rsidRPr="003F2AF9">
        <w:t>59(13</w:t>
      </w:r>
      <w:r w:rsidR="003F2AF9" w:rsidRPr="003F2AF9">
        <w:t>)</w:t>
      </w:r>
      <w:r w:rsidR="003F2AF9">
        <w:t xml:space="preserve">, pp </w:t>
      </w:r>
      <w:r w:rsidR="00423F09" w:rsidRPr="003F2AF9">
        <w:t xml:space="preserve">6856-63. </w:t>
      </w:r>
      <w:r w:rsidR="003F2AF9">
        <w:t xml:space="preserve"> </w:t>
      </w:r>
      <w:proofErr w:type="spellStart"/>
      <w:proofErr w:type="gramStart"/>
      <w:r w:rsidR="00423F09" w:rsidRPr="003F2AF9">
        <w:t>doi</w:t>
      </w:r>
      <w:proofErr w:type="spellEnd"/>
      <w:proofErr w:type="gramEnd"/>
      <w:r w:rsidR="00423F09" w:rsidRPr="003F2AF9">
        <w:t xml:space="preserve">: 10.1021/jf200212v. </w:t>
      </w:r>
      <w:proofErr w:type="spellStart"/>
      <w:r w:rsidR="00423F09" w:rsidRPr="003F2AF9">
        <w:t>Epub</w:t>
      </w:r>
      <w:proofErr w:type="spellEnd"/>
      <w:r w:rsidR="00423F09" w:rsidRPr="003F2AF9">
        <w:t xml:space="preserve"> 2011 Jun 7</w:t>
      </w:r>
      <w:r w:rsidRPr="003F2AF9">
        <w:t>.</w:t>
      </w:r>
    </w:p>
    <w:sectPr w:rsidR="00611300" w:rsidRPr="003F2AF9" w:rsidSect="00C00E2B">
      <w:footerReference w:type="default" r:id="rId9"/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F51" w:rsidRDefault="00646F51">
      <w:pPr>
        <w:pStyle w:val="Default"/>
      </w:pPr>
      <w:r>
        <w:separator/>
      </w:r>
    </w:p>
  </w:endnote>
  <w:endnote w:type="continuationSeparator" w:id="0">
    <w:p w:rsidR="00646F51" w:rsidRDefault="00646F51">
      <w:pPr>
        <w:pStyle w:val="Defaul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KAK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172925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D7CE0" w:rsidRDefault="00ED7C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0444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0444C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3FC3" w:rsidRPr="00440D80" w:rsidRDefault="007B3FC3" w:rsidP="006F4C3F">
    <w:pPr>
      <w:pStyle w:val="Footer"/>
      <w:jc w:val="center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F51" w:rsidRDefault="00646F51">
      <w:pPr>
        <w:pStyle w:val="Default"/>
      </w:pPr>
      <w:r>
        <w:separator/>
      </w:r>
    </w:p>
  </w:footnote>
  <w:footnote w:type="continuationSeparator" w:id="0">
    <w:p w:rsidR="00646F51" w:rsidRDefault="00646F51">
      <w:pPr>
        <w:pStyle w:val="Defaul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BC65BC"/>
    <w:multiLevelType w:val="hybridMultilevel"/>
    <w:tmpl w:val="3E23E1A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5E2491"/>
    <w:multiLevelType w:val="hybridMultilevel"/>
    <w:tmpl w:val="C89761F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FFFFFFE"/>
    <w:multiLevelType w:val="singleLevel"/>
    <w:tmpl w:val="81A61E4E"/>
    <w:lvl w:ilvl="0">
      <w:numFmt w:val="bullet"/>
      <w:lvlText w:val="*"/>
      <w:lvlJc w:val="left"/>
    </w:lvl>
  </w:abstractNum>
  <w:abstractNum w:abstractNumId="3">
    <w:nsid w:val="3D8D1783"/>
    <w:multiLevelType w:val="hybridMultilevel"/>
    <w:tmpl w:val="92BA87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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2">
    <w:abstractNumId w:val="2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4"/>
        </w:rPr>
      </w:lvl>
    </w:lvlOverride>
  </w:num>
  <w:num w:numId="3">
    <w:abstractNumId w:val="2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0"/>
        </w:rPr>
      </w:lvl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77E"/>
    <w:rsid w:val="0001276E"/>
    <w:rsid w:val="00025EBD"/>
    <w:rsid w:val="00056439"/>
    <w:rsid w:val="00075D09"/>
    <w:rsid w:val="000930BC"/>
    <w:rsid w:val="00094F5A"/>
    <w:rsid w:val="000B026F"/>
    <w:rsid w:val="000C294C"/>
    <w:rsid w:val="000C3BDA"/>
    <w:rsid w:val="000D30B0"/>
    <w:rsid w:val="000E2332"/>
    <w:rsid w:val="000E3588"/>
    <w:rsid w:val="000F3CC3"/>
    <w:rsid w:val="001107DF"/>
    <w:rsid w:val="00121507"/>
    <w:rsid w:val="00161804"/>
    <w:rsid w:val="00162FF4"/>
    <w:rsid w:val="0016531E"/>
    <w:rsid w:val="00180B7F"/>
    <w:rsid w:val="001A0A39"/>
    <w:rsid w:val="001B5E1A"/>
    <w:rsid w:val="001B7A8B"/>
    <w:rsid w:val="001C059B"/>
    <w:rsid w:val="001C2808"/>
    <w:rsid w:val="001C3922"/>
    <w:rsid w:val="001C46F1"/>
    <w:rsid w:val="001C5C96"/>
    <w:rsid w:val="001F169F"/>
    <w:rsid w:val="001F1812"/>
    <w:rsid w:val="0021179A"/>
    <w:rsid w:val="00212F5A"/>
    <w:rsid w:val="00232174"/>
    <w:rsid w:val="00241737"/>
    <w:rsid w:val="00247AFD"/>
    <w:rsid w:val="002629B6"/>
    <w:rsid w:val="002649F2"/>
    <w:rsid w:val="002B3C92"/>
    <w:rsid w:val="002E04E5"/>
    <w:rsid w:val="00305441"/>
    <w:rsid w:val="00331BD2"/>
    <w:rsid w:val="0034032E"/>
    <w:rsid w:val="00371A64"/>
    <w:rsid w:val="003B1F78"/>
    <w:rsid w:val="003C0F2D"/>
    <w:rsid w:val="003C42EB"/>
    <w:rsid w:val="003F2AF9"/>
    <w:rsid w:val="00415ABF"/>
    <w:rsid w:val="00423F09"/>
    <w:rsid w:val="00440D80"/>
    <w:rsid w:val="0049317F"/>
    <w:rsid w:val="004A4E97"/>
    <w:rsid w:val="004B35EC"/>
    <w:rsid w:val="004C39F0"/>
    <w:rsid w:val="00503657"/>
    <w:rsid w:val="0050443F"/>
    <w:rsid w:val="0050444C"/>
    <w:rsid w:val="0052286E"/>
    <w:rsid w:val="00534015"/>
    <w:rsid w:val="00577982"/>
    <w:rsid w:val="0059087D"/>
    <w:rsid w:val="00591D47"/>
    <w:rsid w:val="005D51ED"/>
    <w:rsid w:val="005D6AC9"/>
    <w:rsid w:val="005E052C"/>
    <w:rsid w:val="005E3842"/>
    <w:rsid w:val="005E452E"/>
    <w:rsid w:val="005E54E1"/>
    <w:rsid w:val="00611300"/>
    <w:rsid w:val="00614BAF"/>
    <w:rsid w:val="00635120"/>
    <w:rsid w:val="00646F51"/>
    <w:rsid w:val="0067260A"/>
    <w:rsid w:val="0069182A"/>
    <w:rsid w:val="00697F71"/>
    <w:rsid w:val="006C1CF3"/>
    <w:rsid w:val="006C667F"/>
    <w:rsid w:val="006F4BC2"/>
    <w:rsid w:val="006F4C3F"/>
    <w:rsid w:val="007077CE"/>
    <w:rsid w:val="0076718E"/>
    <w:rsid w:val="007711B2"/>
    <w:rsid w:val="00774BEE"/>
    <w:rsid w:val="007A077E"/>
    <w:rsid w:val="007A173D"/>
    <w:rsid w:val="007B3FC3"/>
    <w:rsid w:val="007B5851"/>
    <w:rsid w:val="007C1E4B"/>
    <w:rsid w:val="007D3D69"/>
    <w:rsid w:val="008119D2"/>
    <w:rsid w:val="00866404"/>
    <w:rsid w:val="0087126C"/>
    <w:rsid w:val="0088577C"/>
    <w:rsid w:val="00887718"/>
    <w:rsid w:val="00892A42"/>
    <w:rsid w:val="008A433D"/>
    <w:rsid w:val="008A7F36"/>
    <w:rsid w:val="008B5FDB"/>
    <w:rsid w:val="008C4816"/>
    <w:rsid w:val="008C6B25"/>
    <w:rsid w:val="008D0746"/>
    <w:rsid w:val="008E2D9F"/>
    <w:rsid w:val="008E2DED"/>
    <w:rsid w:val="008E2FD2"/>
    <w:rsid w:val="0090389F"/>
    <w:rsid w:val="009209E1"/>
    <w:rsid w:val="00921330"/>
    <w:rsid w:val="0092715A"/>
    <w:rsid w:val="0094116B"/>
    <w:rsid w:val="00943405"/>
    <w:rsid w:val="009475DB"/>
    <w:rsid w:val="009655A2"/>
    <w:rsid w:val="009724BA"/>
    <w:rsid w:val="009907CB"/>
    <w:rsid w:val="009969CA"/>
    <w:rsid w:val="009B782F"/>
    <w:rsid w:val="009F2B22"/>
    <w:rsid w:val="009F3819"/>
    <w:rsid w:val="00A275D9"/>
    <w:rsid w:val="00A35AA0"/>
    <w:rsid w:val="00A43B58"/>
    <w:rsid w:val="00A66E3B"/>
    <w:rsid w:val="00AA108F"/>
    <w:rsid w:val="00AC2D15"/>
    <w:rsid w:val="00AD0479"/>
    <w:rsid w:val="00AD2FE1"/>
    <w:rsid w:val="00AE2713"/>
    <w:rsid w:val="00AE713C"/>
    <w:rsid w:val="00AF2B37"/>
    <w:rsid w:val="00B0549D"/>
    <w:rsid w:val="00B06BD2"/>
    <w:rsid w:val="00B15A93"/>
    <w:rsid w:val="00B258E3"/>
    <w:rsid w:val="00B35466"/>
    <w:rsid w:val="00B70C65"/>
    <w:rsid w:val="00BC1B41"/>
    <w:rsid w:val="00BE6E9E"/>
    <w:rsid w:val="00BF6A09"/>
    <w:rsid w:val="00BF6FE8"/>
    <w:rsid w:val="00C00E2B"/>
    <w:rsid w:val="00C016DA"/>
    <w:rsid w:val="00C03F3B"/>
    <w:rsid w:val="00C04F82"/>
    <w:rsid w:val="00C2790E"/>
    <w:rsid w:val="00C4241A"/>
    <w:rsid w:val="00C46C59"/>
    <w:rsid w:val="00C526C6"/>
    <w:rsid w:val="00C60480"/>
    <w:rsid w:val="00C72299"/>
    <w:rsid w:val="00C72BA5"/>
    <w:rsid w:val="00C777D8"/>
    <w:rsid w:val="00C86DE1"/>
    <w:rsid w:val="00CD1758"/>
    <w:rsid w:val="00CE45A3"/>
    <w:rsid w:val="00D068B5"/>
    <w:rsid w:val="00D17191"/>
    <w:rsid w:val="00D31A21"/>
    <w:rsid w:val="00D43FCE"/>
    <w:rsid w:val="00D5365C"/>
    <w:rsid w:val="00D729FC"/>
    <w:rsid w:val="00D87055"/>
    <w:rsid w:val="00DA0080"/>
    <w:rsid w:val="00DA2405"/>
    <w:rsid w:val="00DC16D9"/>
    <w:rsid w:val="00DC2052"/>
    <w:rsid w:val="00DE455F"/>
    <w:rsid w:val="00DF11B6"/>
    <w:rsid w:val="00E06144"/>
    <w:rsid w:val="00E136B0"/>
    <w:rsid w:val="00E32B3D"/>
    <w:rsid w:val="00E57D0A"/>
    <w:rsid w:val="00E60680"/>
    <w:rsid w:val="00E64A57"/>
    <w:rsid w:val="00E86D45"/>
    <w:rsid w:val="00EB60BB"/>
    <w:rsid w:val="00EB6725"/>
    <w:rsid w:val="00ED6A3D"/>
    <w:rsid w:val="00ED7CE0"/>
    <w:rsid w:val="00EF5787"/>
    <w:rsid w:val="00F0208F"/>
    <w:rsid w:val="00F06E50"/>
    <w:rsid w:val="00F11D78"/>
    <w:rsid w:val="00F134F8"/>
    <w:rsid w:val="00F9310E"/>
    <w:rsid w:val="00F94C2C"/>
    <w:rsid w:val="00FB43EB"/>
    <w:rsid w:val="00FE5D5F"/>
    <w:rsid w:val="00FE7301"/>
    <w:rsid w:val="00FE7E2D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KAKO+Arial" w:hAnsi="CAKAKO+Arial" w:cs="CAKAKO+Arial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pPr>
      <w:spacing w:after="80"/>
    </w:pPr>
    <w:rPr>
      <w:rFonts w:cs="Times New Roman"/>
      <w:color w:val="auto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sid w:val="008C6B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E2332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11300"/>
    <w:rPr>
      <w:lang w:eastAsia="en-US"/>
    </w:rPr>
  </w:style>
  <w:style w:type="character" w:styleId="Strong">
    <w:name w:val="Strong"/>
    <w:basedOn w:val="DefaultParagraphFont"/>
    <w:uiPriority w:val="22"/>
    <w:qFormat/>
    <w:rsid w:val="003F2AF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D0746"/>
    <w:rPr>
      <w:sz w:val="24"/>
      <w:szCs w:val="24"/>
      <w:lang w:eastAsia="en-US"/>
    </w:rPr>
  </w:style>
  <w:style w:type="paragraph" w:styleId="NoSpacing">
    <w:name w:val="No Spacing"/>
    <w:basedOn w:val="BodyText"/>
    <w:uiPriority w:val="1"/>
    <w:qFormat/>
    <w:rsid w:val="008D0746"/>
    <w:pPr>
      <w:spacing w:after="120"/>
      <w:jc w:val="both"/>
    </w:pPr>
    <w:rPr>
      <w:rFonts w:ascii="Times New Roman" w:hAnsi="Times New Roman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CAKAKO+Arial" w:hAnsi="CAKAKO+Arial" w:cs="CAKAKO+Arial"/>
      <w:color w:val="000000"/>
      <w:sz w:val="24"/>
      <w:szCs w:val="24"/>
      <w:lang w:eastAsia="en-US"/>
    </w:rPr>
  </w:style>
  <w:style w:type="paragraph" w:styleId="BodyText">
    <w:name w:val="Body Text"/>
    <w:basedOn w:val="Default"/>
    <w:next w:val="Default"/>
    <w:pPr>
      <w:spacing w:after="80"/>
    </w:pPr>
    <w:rPr>
      <w:rFonts w:cs="Times New Roman"/>
      <w:color w:val="auto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Hyperlink">
    <w:name w:val="Hyperlink"/>
    <w:basedOn w:val="DefaultParagraphFont"/>
    <w:rsid w:val="008C6B2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E2332"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611300"/>
    <w:rPr>
      <w:lang w:eastAsia="en-US"/>
    </w:rPr>
  </w:style>
  <w:style w:type="character" w:styleId="Strong">
    <w:name w:val="Strong"/>
    <w:basedOn w:val="DefaultParagraphFont"/>
    <w:uiPriority w:val="22"/>
    <w:qFormat/>
    <w:rsid w:val="003F2AF9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8D0746"/>
    <w:rPr>
      <w:sz w:val="24"/>
      <w:szCs w:val="24"/>
      <w:lang w:eastAsia="en-US"/>
    </w:rPr>
  </w:style>
  <w:style w:type="paragraph" w:styleId="NoSpacing">
    <w:name w:val="No Spacing"/>
    <w:basedOn w:val="BodyText"/>
    <w:uiPriority w:val="1"/>
    <w:qFormat/>
    <w:rsid w:val="008D0746"/>
    <w:pPr>
      <w:spacing w:after="120"/>
      <w:jc w:val="both"/>
    </w:pPr>
    <w:rPr>
      <w:rFonts w:ascii="Times New Roman" w:hAnsi="Times New Roman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52B2E-9746-41DC-A4B9-10370EDD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1537</Words>
  <Characters>8764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Stacks detection position document</vt:lpstr>
    </vt:vector>
  </TitlesOfParts>
  <Company>Bayer Corporation</Company>
  <LinksUpToDate>false</LinksUpToDate>
  <CharactersWithSpaces>10281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Stacks detection position document</dc:title>
  <dc:creator>Bayer</dc:creator>
  <cp:lastModifiedBy>HUIHUA FU</cp:lastModifiedBy>
  <cp:revision>3</cp:revision>
  <cp:lastPrinted>2013-08-23T14:34:00Z</cp:lastPrinted>
  <dcterms:created xsi:type="dcterms:W3CDTF">2014-10-10T16:17:00Z</dcterms:created>
  <dcterms:modified xsi:type="dcterms:W3CDTF">2014-10-10T16:19:00Z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_Steward">
    <vt:lpwstr>Rubin-Wilson B u238842</vt:lpwstr>
  </property>
  <property fmtid="{D5CDD505-2E9C-101B-9397-08002B2CF9AE}" pid="3" name="Information_Classification">
    <vt:lpwstr/>
  </property>
  <property fmtid="{D5CDD505-2E9C-101B-9397-08002B2CF9AE}" pid="4" name="Record_Title_ID">
    <vt:lpwstr>72</vt:lpwstr>
  </property>
  <property fmtid="{D5CDD505-2E9C-101B-9397-08002B2CF9AE}" pid="5" name="Initial_Creation_Date">
    <vt:filetime>2009-08-15T16:36:52Z</vt:filetime>
  </property>
  <property fmtid="{D5CDD505-2E9C-101B-9397-08002B2CF9AE}" pid="6" name="Retention_Period_Start_Date">
    <vt:filetime>2014-08-19T03:39:13Z</vt:filetime>
  </property>
  <property fmtid="{D5CDD505-2E9C-101B-9397-08002B2CF9AE}" pid="7" name="Last_Reviewed_Date">
    <vt:lpwstr/>
  </property>
  <property fmtid="{D5CDD505-2E9C-101B-9397-08002B2CF9AE}" pid="8" name="Retention_Review_Frequency">
    <vt:lpwstr/>
  </property>
  <property fmtid="{D5CDD505-2E9C-101B-9397-08002B2CF9AE}" pid="9" name="Update_Footer">
    <vt:lpwstr>No</vt:lpwstr>
  </property>
  <property fmtid="{D5CDD505-2E9C-101B-9397-08002B2CF9AE}" pid="10" name="Radio_Button">
    <vt:lpwstr>RadioButton2</vt:lpwstr>
  </property>
  <property fmtid="{D5CDD505-2E9C-101B-9397-08002B2CF9AE}" pid="11" name="_NewReviewCycle">
    <vt:lpwstr/>
  </property>
</Properties>
</file>